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6FA6" w14:textId="77777777" w:rsidR="00E26191" w:rsidRDefault="00E26191" w:rsidP="00E26191">
      <w:pPr>
        <w:jc w:val="both"/>
      </w:pPr>
    </w:p>
    <w:p w14:paraId="05FE3037" w14:textId="3F85C3ED" w:rsidR="00D85304" w:rsidRDefault="003F677F" w:rsidP="00D85304">
      <w:pPr>
        <w:jc w:val="center"/>
        <w:rPr>
          <w:b/>
        </w:rPr>
      </w:pPr>
      <w:r w:rsidRPr="002753A2">
        <w:rPr>
          <w:b/>
        </w:rPr>
        <w:t>V</w:t>
      </w:r>
      <w:r w:rsidR="00D85304" w:rsidRPr="002753A2">
        <w:rPr>
          <w:b/>
        </w:rPr>
        <w:t>IEŠOSIOS ĮSTAIGOS</w:t>
      </w:r>
      <w:r w:rsidRPr="002753A2">
        <w:rPr>
          <w:b/>
        </w:rPr>
        <w:t xml:space="preserve"> </w:t>
      </w:r>
      <w:r w:rsidR="002753A2" w:rsidRPr="002753A2">
        <w:rPr>
          <w:b/>
        </w:rPr>
        <w:t>KUDIRKOS</w:t>
      </w:r>
      <w:r w:rsidR="002753A2" w:rsidRPr="002753A2">
        <w:rPr>
          <w:b/>
          <w:sz w:val="28"/>
          <w:szCs w:val="28"/>
        </w:rPr>
        <w:t xml:space="preserve"> </w:t>
      </w:r>
      <w:r w:rsidR="002753A2" w:rsidRPr="002753A2">
        <w:rPr>
          <w:b/>
        </w:rPr>
        <w:t>NAUMIESČIO P</w:t>
      </w:r>
      <w:r w:rsidR="002753A2">
        <w:rPr>
          <w:b/>
        </w:rPr>
        <w:t xml:space="preserve">IRMINĖS SVEIKATOS PRIEŽIŪROS </w:t>
      </w:r>
      <w:r w:rsidR="002753A2" w:rsidRPr="002753A2">
        <w:rPr>
          <w:b/>
        </w:rPr>
        <w:t>CENTRO</w:t>
      </w:r>
    </w:p>
    <w:p w14:paraId="038C59AB" w14:textId="28E3231D" w:rsidR="00D85304" w:rsidRDefault="0015119E" w:rsidP="00D85304">
      <w:pPr>
        <w:jc w:val="center"/>
        <w:rPr>
          <w:b/>
        </w:rPr>
      </w:pPr>
      <w:r>
        <w:rPr>
          <w:b/>
        </w:rPr>
        <w:t>20</w:t>
      </w:r>
      <w:r w:rsidR="00B84E81">
        <w:rPr>
          <w:b/>
        </w:rPr>
        <w:t>2</w:t>
      </w:r>
      <w:r w:rsidR="000808A9">
        <w:rPr>
          <w:b/>
        </w:rPr>
        <w:t>1</w:t>
      </w:r>
      <w:r>
        <w:rPr>
          <w:b/>
        </w:rPr>
        <w:t xml:space="preserve"> METŲ VEIKLOS UŽDUO</w:t>
      </w:r>
      <w:r w:rsidR="00B84E81">
        <w:rPr>
          <w:b/>
        </w:rPr>
        <w:t>TYS</w:t>
      </w:r>
    </w:p>
    <w:p w14:paraId="3A58A4A0" w14:textId="77777777" w:rsidR="00F41EB5" w:rsidRDefault="00F41EB5" w:rsidP="00D85304">
      <w:pPr>
        <w:jc w:val="center"/>
        <w:rPr>
          <w:b/>
        </w:rPr>
      </w:pPr>
    </w:p>
    <w:p w14:paraId="75B06E1B" w14:textId="77777777" w:rsidR="00BE0C34" w:rsidRDefault="00BE0C34" w:rsidP="00D85304">
      <w:pPr>
        <w:jc w:val="center"/>
        <w:rPr>
          <w:b/>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38"/>
        <w:gridCol w:w="3210"/>
        <w:gridCol w:w="2897"/>
        <w:gridCol w:w="2827"/>
        <w:gridCol w:w="1533"/>
      </w:tblGrid>
      <w:tr w:rsidR="005708F4" w:rsidRPr="00F41EB5" w14:paraId="427E6C08" w14:textId="77777777" w:rsidTr="00C51769">
        <w:trPr>
          <w:tblHeader/>
        </w:trPr>
        <w:tc>
          <w:tcPr>
            <w:tcW w:w="199" w:type="pct"/>
            <w:shd w:val="clear" w:color="auto" w:fill="auto"/>
            <w:vAlign w:val="center"/>
          </w:tcPr>
          <w:p w14:paraId="0C7CF5CD" w14:textId="77777777" w:rsidR="005708F4" w:rsidRPr="00F41EB5" w:rsidRDefault="005708F4" w:rsidP="000236DD">
            <w:pPr>
              <w:jc w:val="center"/>
              <w:rPr>
                <w:rFonts w:eastAsia="Calibri"/>
                <w:b/>
                <w:sz w:val="22"/>
                <w:szCs w:val="22"/>
                <w:lang w:eastAsia="en-US"/>
              </w:rPr>
            </w:pPr>
            <w:r w:rsidRPr="00F41EB5">
              <w:rPr>
                <w:rFonts w:eastAsia="Calibri"/>
                <w:b/>
                <w:sz w:val="22"/>
                <w:szCs w:val="22"/>
                <w:lang w:eastAsia="en-US"/>
              </w:rPr>
              <w:t>Eil. Nr.</w:t>
            </w:r>
          </w:p>
        </w:tc>
        <w:tc>
          <w:tcPr>
            <w:tcW w:w="1080" w:type="pct"/>
            <w:shd w:val="clear" w:color="auto" w:fill="auto"/>
            <w:vAlign w:val="center"/>
          </w:tcPr>
          <w:p w14:paraId="30EE73D8" w14:textId="77777777" w:rsidR="005708F4" w:rsidRPr="00F41EB5" w:rsidRDefault="005708F4" w:rsidP="000236DD">
            <w:pPr>
              <w:jc w:val="center"/>
              <w:rPr>
                <w:rFonts w:eastAsia="Calibri"/>
                <w:b/>
                <w:sz w:val="22"/>
                <w:szCs w:val="22"/>
                <w:lang w:eastAsia="en-US"/>
              </w:rPr>
            </w:pPr>
            <w:r w:rsidRPr="00F41EB5">
              <w:rPr>
                <w:rFonts w:eastAsia="Calibri"/>
                <w:b/>
                <w:sz w:val="22"/>
                <w:szCs w:val="22"/>
                <w:lang w:eastAsia="en-US"/>
              </w:rPr>
              <w:t>Veiklos užduočių vertinimo rodikliai</w:t>
            </w:r>
          </w:p>
        </w:tc>
        <w:tc>
          <w:tcPr>
            <w:tcW w:w="1141" w:type="pct"/>
            <w:shd w:val="clear" w:color="auto" w:fill="auto"/>
            <w:vAlign w:val="center"/>
          </w:tcPr>
          <w:p w14:paraId="46DEEC0D" w14:textId="77777777" w:rsidR="005708F4" w:rsidRPr="00F41EB5" w:rsidRDefault="005708F4" w:rsidP="000236DD">
            <w:pPr>
              <w:jc w:val="center"/>
              <w:rPr>
                <w:rFonts w:eastAsia="Calibri"/>
                <w:b/>
                <w:sz w:val="22"/>
                <w:szCs w:val="22"/>
                <w:lang w:eastAsia="en-US"/>
              </w:rPr>
            </w:pPr>
            <w:r w:rsidRPr="00F41EB5">
              <w:rPr>
                <w:rFonts w:eastAsia="Calibri"/>
                <w:b/>
                <w:sz w:val="22"/>
                <w:szCs w:val="22"/>
                <w:lang w:eastAsia="en-US"/>
              </w:rPr>
              <w:t>Veiklos užduotys</w:t>
            </w:r>
          </w:p>
        </w:tc>
        <w:tc>
          <w:tcPr>
            <w:tcW w:w="2035" w:type="pct"/>
            <w:gridSpan w:val="2"/>
            <w:shd w:val="clear" w:color="auto" w:fill="auto"/>
            <w:vAlign w:val="center"/>
          </w:tcPr>
          <w:p w14:paraId="71128C9B" w14:textId="3AAA3A86" w:rsidR="005708F4" w:rsidRPr="00F41EB5" w:rsidRDefault="005708F4" w:rsidP="00B84E81">
            <w:pPr>
              <w:rPr>
                <w:rFonts w:eastAsia="Calibri"/>
                <w:b/>
                <w:sz w:val="22"/>
                <w:szCs w:val="22"/>
                <w:lang w:eastAsia="en-US"/>
              </w:rPr>
            </w:pPr>
          </w:p>
        </w:tc>
        <w:tc>
          <w:tcPr>
            <w:tcW w:w="545" w:type="pct"/>
            <w:vAlign w:val="center"/>
          </w:tcPr>
          <w:p w14:paraId="6FA90700" w14:textId="15C2BAEE" w:rsidR="005708F4" w:rsidRDefault="005708F4" w:rsidP="00B84E81">
            <w:pPr>
              <w:rPr>
                <w:rFonts w:eastAsia="Calibri"/>
                <w:b/>
                <w:sz w:val="22"/>
                <w:szCs w:val="22"/>
                <w:lang w:eastAsia="en-US"/>
              </w:rPr>
            </w:pPr>
          </w:p>
        </w:tc>
      </w:tr>
      <w:tr w:rsidR="005708F4" w:rsidRPr="00F41EB5" w14:paraId="0C892270" w14:textId="77777777" w:rsidTr="005708F4">
        <w:trPr>
          <w:trHeight w:val="488"/>
        </w:trPr>
        <w:tc>
          <w:tcPr>
            <w:tcW w:w="4455" w:type="pct"/>
            <w:gridSpan w:val="5"/>
            <w:shd w:val="clear" w:color="auto" w:fill="auto"/>
          </w:tcPr>
          <w:p w14:paraId="07035171" w14:textId="77777777" w:rsidR="005708F4" w:rsidRPr="00F41EB5" w:rsidRDefault="005708F4" w:rsidP="00F41EB5">
            <w:pPr>
              <w:rPr>
                <w:rFonts w:eastAsia="Calibri"/>
                <w:b/>
                <w:sz w:val="22"/>
                <w:szCs w:val="22"/>
                <w:lang w:eastAsia="en-US"/>
              </w:rPr>
            </w:pPr>
          </w:p>
          <w:p w14:paraId="25580A0F" w14:textId="77777777" w:rsidR="005708F4" w:rsidRPr="00B06F9D" w:rsidRDefault="005708F4" w:rsidP="00B06F9D">
            <w:pPr>
              <w:pStyle w:val="Sraopastraipa"/>
              <w:numPr>
                <w:ilvl w:val="0"/>
                <w:numId w:val="5"/>
              </w:numPr>
              <w:rPr>
                <w:rFonts w:eastAsia="Calibri"/>
                <w:b/>
                <w:sz w:val="22"/>
                <w:szCs w:val="22"/>
                <w:lang w:eastAsia="en-US"/>
              </w:rPr>
            </w:pPr>
            <w:r w:rsidRPr="00B06F9D">
              <w:rPr>
                <w:rFonts w:eastAsia="Calibri"/>
                <w:b/>
                <w:sz w:val="22"/>
                <w:szCs w:val="22"/>
                <w:lang w:eastAsia="en-US"/>
              </w:rPr>
              <w:t>Veiklos finansinių rezultatų kiekybiniai  vertinimo rodikliai</w:t>
            </w:r>
          </w:p>
          <w:p w14:paraId="3D86A928" w14:textId="77777777" w:rsidR="005708F4" w:rsidRPr="00B06F9D" w:rsidRDefault="005708F4" w:rsidP="00B06F9D">
            <w:pPr>
              <w:pStyle w:val="Sraopastraipa"/>
              <w:rPr>
                <w:rFonts w:eastAsia="Calibri"/>
                <w:b/>
                <w:sz w:val="22"/>
                <w:szCs w:val="22"/>
                <w:lang w:eastAsia="en-US"/>
              </w:rPr>
            </w:pPr>
          </w:p>
        </w:tc>
        <w:tc>
          <w:tcPr>
            <w:tcW w:w="545" w:type="pct"/>
          </w:tcPr>
          <w:p w14:paraId="721436D9" w14:textId="77777777" w:rsidR="005708F4" w:rsidRPr="00F41EB5" w:rsidRDefault="005708F4" w:rsidP="00F41EB5">
            <w:pPr>
              <w:rPr>
                <w:rFonts w:eastAsia="Calibri"/>
                <w:b/>
                <w:sz w:val="22"/>
                <w:szCs w:val="22"/>
                <w:lang w:eastAsia="en-US"/>
              </w:rPr>
            </w:pPr>
          </w:p>
        </w:tc>
      </w:tr>
      <w:tr w:rsidR="005708F4" w:rsidRPr="00F41EB5" w14:paraId="5322E3A0" w14:textId="77777777" w:rsidTr="00C51769">
        <w:tc>
          <w:tcPr>
            <w:tcW w:w="199" w:type="pct"/>
            <w:shd w:val="clear" w:color="auto" w:fill="auto"/>
          </w:tcPr>
          <w:p w14:paraId="03FAE30E"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1.</w:t>
            </w:r>
          </w:p>
        </w:tc>
        <w:tc>
          <w:tcPr>
            <w:tcW w:w="1080" w:type="pct"/>
            <w:shd w:val="clear" w:color="auto" w:fill="auto"/>
          </w:tcPr>
          <w:p w14:paraId="4AE544AF" w14:textId="77777777" w:rsidR="005708F4" w:rsidRDefault="005708F4" w:rsidP="00F41EB5">
            <w:pPr>
              <w:rPr>
                <w:rFonts w:eastAsia="Calibri"/>
                <w:sz w:val="22"/>
                <w:szCs w:val="22"/>
                <w:lang w:eastAsia="en-US"/>
              </w:rPr>
            </w:pPr>
            <w:r w:rsidRPr="00F41EB5">
              <w:rPr>
                <w:rFonts w:eastAsia="Calibri"/>
                <w:sz w:val="22"/>
                <w:szCs w:val="22"/>
                <w:lang w:eastAsia="en-US"/>
              </w:rPr>
              <w:t>Įstaigos praėjusių metų veiklos rezultatų ataskaitoje nurodytas pajamų ir sąnaudų skirtumas (grynasis perviršis ir deficitas)</w:t>
            </w:r>
          </w:p>
          <w:p w14:paraId="5888DB0B" w14:textId="77777777" w:rsidR="005708F4" w:rsidRPr="00F41EB5" w:rsidRDefault="005708F4" w:rsidP="00F41EB5">
            <w:pPr>
              <w:rPr>
                <w:rFonts w:eastAsia="Calibri"/>
                <w:sz w:val="22"/>
                <w:szCs w:val="22"/>
                <w:lang w:eastAsia="en-US"/>
              </w:rPr>
            </w:pPr>
          </w:p>
        </w:tc>
        <w:tc>
          <w:tcPr>
            <w:tcW w:w="1141" w:type="pct"/>
            <w:shd w:val="clear" w:color="auto" w:fill="auto"/>
          </w:tcPr>
          <w:p w14:paraId="15481D4D" w14:textId="77777777" w:rsidR="005708F4" w:rsidRPr="00F41EB5" w:rsidRDefault="005708F4" w:rsidP="00F41EB5">
            <w:pPr>
              <w:contextualSpacing/>
              <w:rPr>
                <w:rFonts w:eastAsia="Calibri"/>
                <w:sz w:val="22"/>
                <w:szCs w:val="22"/>
                <w:lang w:eastAsia="en-US"/>
              </w:rPr>
            </w:pPr>
            <w:r w:rsidRPr="00F41EB5">
              <w:rPr>
                <w:rFonts w:eastAsia="Calibri"/>
                <w:sz w:val="22"/>
                <w:szCs w:val="22"/>
                <w:lang w:eastAsia="en-US"/>
              </w:rPr>
              <w:t>Būti nenuostolingai</w:t>
            </w:r>
          </w:p>
          <w:p w14:paraId="0A98C075" w14:textId="77777777" w:rsidR="005708F4" w:rsidRPr="00F41EB5" w:rsidRDefault="005708F4" w:rsidP="00F41EB5">
            <w:pPr>
              <w:tabs>
                <w:tab w:val="left" w:pos="851"/>
                <w:tab w:val="left" w:pos="7938"/>
              </w:tabs>
              <w:jc w:val="both"/>
              <w:rPr>
                <w:rFonts w:eastAsia="Calibri"/>
                <w:sz w:val="22"/>
                <w:szCs w:val="22"/>
                <w:lang w:eastAsia="en-US"/>
              </w:rPr>
            </w:pPr>
          </w:p>
        </w:tc>
        <w:tc>
          <w:tcPr>
            <w:tcW w:w="2035" w:type="pct"/>
            <w:gridSpan w:val="2"/>
            <w:shd w:val="clear" w:color="auto" w:fill="auto"/>
          </w:tcPr>
          <w:p w14:paraId="211C05CC" w14:textId="0074F3BD" w:rsidR="005708F4" w:rsidRPr="007A1438" w:rsidRDefault="005708F4" w:rsidP="00F41EB5">
            <w:pPr>
              <w:rPr>
                <w:rFonts w:eastAsia="Calibri"/>
                <w:sz w:val="22"/>
                <w:szCs w:val="22"/>
                <w:lang w:eastAsia="en-US"/>
              </w:rPr>
            </w:pPr>
          </w:p>
        </w:tc>
        <w:tc>
          <w:tcPr>
            <w:tcW w:w="545" w:type="pct"/>
          </w:tcPr>
          <w:p w14:paraId="4B172CEA" w14:textId="5496F2C4" w:rsidR="005708F4" w:rsidRDefault="005708F4" w:rsidP="005708F4">
            <w:pPr>
              <w:jc w:val="center"/>
              <w:rPr>
                <w:rFonts w:eastAsia="Calibri"/>
                <w:sz w:val="22"/>
                <w:szCs w:val="22"/>
              </w:rPr>
            </w:pPr>
          </w:p>
        </w:tc>
      </w:tr>
      <w:tr w:rsidR="005708F4" w:rsidRPr="00F41EB5" w14:paraId="2B67F768" w14:textId="77777777" w:rsidTr="00C51769">
        <w:tc>
          <w:tcPr>
            <w:tcW w:w="199" w:type="pct"/>
            <w:shd w:val="clear" w:color="auto" w:fill="auto"/>
          </w:tcPr>
          <w:p w14:paraId="7C834A10" w14:textId="77777777" w:rsidR="005708F4" w:rsidRDefault="005708F4" w:rsidP="00F41EB5">
            <w:pPr>
              <w:jc w:val="center"/>
              <w:rPr>
                <w:rFonts w:eastAsia="Calibri"/>
                <w:sz w:val="22"/>
                <w:szCs w:val="22"/>
                <w:lang w:eastAsia="en-US"/>
              </w:rPr>
            </w:pPr>
          </w:p>
          <w:p w14:paraId="53BD38F4"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2.</w:t>
            </w:r>
          </w:p>
        </w:tc>
        <w:tc>
          <w:tcPr>
            <w:tcW w:w="1080" w:type="pct"/>
            <w:shd w:val="clear" w:color="auto" w:fill="auto"/>
          </w:tcPr>
          <w:p w14:paraId="1D3ECD46" w14:textId="77777777" w:rsidR="005708F4" w:rsidRPr="00F41EB5" w:rsidRDefault="005708F4" w:rsidP="00F41EB5">
            <w:pPr>
              <w:rPr>
                <w:rFonts w:eastAsia="Calibri"/>
                <w:sz w:val="22"/>
                <w:szCs w:val="22"/>
                <w:lang w:eastAsia="en-US"/>
              </w:rPr>
            </w:pPr>
            <w:r w:rsidRPr="00AB6A0E">
              <w:rPr>
                <w:rFonts w:eastAsia="Calibri"/>
                <w:sz w:val="22"/>
                <w:szCs w:val="22"/>
                <w:lang w:eastAsia="en-US"/>
              </w:rPr>
              <w:t>Įstaigos sąnaudų darbo užmokesčiui dalis</w:t>
            </w:r>
          </w:p>
        </w:tc>
        <w:tc>
          <w:tcPr>
            <w:tcW w:w="1141" w:type="pct"/>
            <w:shd w:val="clear" w:color="auto" w:fill="auto"/>
          </w:tcPr>
          <w:p w14:paraId="0D55A7BC" w14:textId="77777777" w:rsidR="005708F4" w:rsidRDefault="005708F4" w:rsidP="00F41EB5">
            <w:r w:rsidRPr="006B1CE7">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p w14:paraId="2A109EB5" w14:textId="77777777" w:rsidR="005708F4" w:rsidRPr="00F41EB5" w:rsidRDefault="005708F4" w:rsidP="00F41EB5">
            <w:pPr>
              <w:rPr>
                <w:rFonts w:eastAsia="Calibri"/>
                <w:b/>
                <w:sz w:val="22"/>
                <w:szCs w:val="22"/>
                <w:lang w:eastAsia="en-US"/>
              </w:rPr>
            </w:pPr>
          </w:p>
        </w:tc>
        <w:tc>
          <w:tcPr>
            <w:tcW w:w="2035" w:type="pct"/>
            <w:gridSpan w:val="2"/>
            <w:shd w:val="clear" w:color="auto" w:fill="auto"/>
          </w:tcPr>
          <w:p w14:paraId="5AA53D33" w14:textId="246260AF" w:rsidR="005708F4" w:rsidRPr="007A1438" w:rsidRDefault="005708F4" w:rsidP="00F41EB5">
            <w:pPr>
              <w:rPr>
                <w:rFonts w:eastAsia="Calibri"/>
                <w:sz w:val="22"/>
                <w:szCs w:val="22"/>
                <w:lang w:eastAsia="en-US"/>
              </w:rPr>
            </w:pPr>
          </w:p>
        </w:tc>
        <w:tc>
          <w:tcPr>
            <w:tcW w:w="545" w:type="pct"/>
          </w:tcPr>
          <w:p w14:paraId="1029B741" w14:textId="3DEC39E5" w:rsidR="005708F4" w:rsidRPr="006B1CE7" w:rsidRDefault="005708F4" w:rsidP="005708F4">
            <w:pPr>
              <w:jc w:val="center"/>
            </w:pPr>
          </w:p>
        </w:tc>
      </w:tr>
      <w:tr w:rsidR="005708F4" w:rsidRPr="00F41EB5" w14:paraId="1A433CCF" w14:textId="77777777" w:rsidTr="00C51769">
        <w:tc>
          <w:tcPr>
            <w:tcW w:w="199" w:type="pct"/>
            <w:shd w:val="clear" w:color="auto" w:fill="auto"/>
          </w:tcPr>
          <w:p w14:paraId="4E8B0C80"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3.</w:t>
            </w:r>
          </w:p>
        </w:tc>
        <w:tc>
          <w:tcPr>
            <w:tcW w:w="1080" w:type="pct"/>
            <w:shd w:val="clear" w:color="auto" w:fill="auto"/>
          </w:tcPr>
          <w:p w14:paraId="476B5B6C" w14:textId="77777777" w:rsidR="005708F4" w:rsidRPr="00F41EB5" w:rsidRDefault="005708F4" w:rsidP="00F41EB5">
            <w:pPr>
              <w:rPr>
                <w:rFonts w:eastAsia="Calibri"/>
                <w:sz w:val="22"/>
                <w:szCs w:val="22"/>
                <w:lang w:eastAsia="en-US"/>
              </w:rPr>
            </w:pPr>
            <w:r w:rsidRPr="00F41EB5">
              <w:rPr>
                <w:rFonts w:eastAsia="Calibri"/>
                <w:sz w:val="22"/>
                <w:szCs w:val="22"/>
                <w:lang w:eastAsia="en-US"/>
              </w:rPr>
              <w:t>Įstaigos sąnaudų valdymo išlaidoms dalis</w:t>
            </w:r>
          </w:p>
        </w:tc>
        <w:tc>
          <w:tcPr>
            <w:tcW w:w="1141" w:type="pct"/>
            <w:shd w:val="clear" w:color="auto" w:fill="auto"/>
          </w:tcPr>
          <w:p w14:paraId="7C9F1EAA" w14:textId="77777777" w:rsidR="005708F4" w:rsidRDefault="005708F4" w:rsidP="00F41EB5">
            <w:pPr>
              <w:contextualSpacing/>
              <w:rPr>
                <w:rFonts w:eastAsia="Calibri"/>
                <w:sz w:val="22"/>
                <w:szCs w:val="22"/>
                <w:lang w:eastAsia="en-US"/>
              </w:rPr>
            </w:pPr>
            <w:r>
              <w:rPr>
                <w:rFonts w:eastAsia="Calibri"/>
                <w:sz w:val="22"/>
                <w:szCs w:val="22"/>
                <w:lang w:eastAsia="en-US"/>
              </w:rPr>
              <w:t xml:space="preserve">Įstaigos sąnaudų valdymo išlaidoms dalis </w:t>
            </w:r>
            <w:r w:rsidRPr="00F41EB5">
              <w:rPr>
                <w:rFonts w:eastAsia="Calibri"/>
                <w:sz w:val="22"/>
                <w:szCs w:val="22"/>
                <w:lang w:eastAsia="en-US"/>
              </w:rPr>
              <w:t>– ne daugiau kaip</w:t>
            </w:r>
            <w:r>
              <w:rPr>
                <w:rFonts w:eastAsia="Calibri"/>
                <w:sz w:val="22"/>
                <w:szCs w:val="22"/>
                <w:lang w:eastAsia="en-US"/>
              </w:rPr>
              <w:t xml:space="preserve"> 7,2</w:t>
            </w:r>
            <w:r w:rsidRPr="00F41EB5">
              <w:rPr>
                <w:rFonts w:eastAsia="Calibri"/>
                <w:sz w:val="22"/>
                <w:szCs w:val="22"/>
                <w:lang w:eastAsia="en-US"/>
              </w:rPr>
              <w:t xml:space="preserve"> proc.</w:t>
            </w:r>
          </w:p>
          <w:p w14:paraId="7F685731" w14:textId="77777777" w:rsidR="005708F4" w:rsidRPr="00F41EB5" w:rsidRDefault="005708F4" w:rsidP="00F41EB5">
            <w:pPr>
              <w:contextualSpacing/>
              <w:rPr>
                <w:rFonts w:eastAsia="Calibri"/>
                <w:sz w:val="22"/>
                <w:szCs w:val="22"/>
                <w:lang w:eastAsia="en-US"/>
              </w:rPr>
            </w:pPr>
          </w:p>
        </w:tc>
        <w:tc>
          <w:tcPr>
            <w:tcW w:w="2035" w:type="pct"/>
            <w:gridSpan w:val="2"/>
            <w:shd w:val="clear" w:color="auto" w:fill="auto"/>
            <w:vAlign w:val="center"/>
          </w:tcPr>
          <w:p w14:paraId="60E5E151" w14:textId="25798AB8" w:rsidR="005708F4" w:rsidRPr="007A1438" w:rsidRDefault="005708F4" w:rsidP="0015119E">
            <w:pPr>
              <w:jc w:val="both"/>
              <w:rPr>
                <w:rFonts w:eastAsia="Calibri"/>
                <w:sz w:val="22"/>
                <w:szCs w:val="22"/>
                <w:lang w:eastAsia="en-US"/>
              </w:rPr>
            </w:pPr>
          </w:p>
        </w:tc>
        <w:tc>
          <w:tcPr>
            <w:tcW w:w="545" w:type="pct"/>
          </w:tcPr>
          <w:p w14:paraId="58A05755" w14:textId="2A75E73A" w:rsidR="005708F4" w:rsidRDefault="005708F4" w:rsidP="005708F4">
            <w:pPr>
              <w:jc w:val="center"/>
              <w:rPr>
                <w:rFonts w:eastAsia="Calibri"/>
                <w:sz w:val="22"/>
                <w:szCs w:val="22"/>
                <w:lang w:eastAsia="en-US"/>
              </w:rPr>
            </w:pPr>
          </w:p>
        </w:tc>
      </w:tr>
      <w:tr w:rsidR="005708F4" w:rsidRPr="00F41EB5" w14:paraId="5EF04B64" w14:textId="77777777" w:rsidTr="00C51769">
        <w:tc>
          <w:tcPr>
            <w:tcW w:w="199" w:type="pct"/>
            <w:shd w:val="clear" w:color="auto" w:fill="auto"/>
          </w:tcPr>
          <w:p w14:paraId="20809E61" w14:textId="77777777" w:rsidR="005708F4" w:rsidRPr="00DB145C" w:rsidRDefault="005708F4" w:rsidP="00F41EB5">
            <w:pPr>
              <w:jc w:val="center"/>
              <w:rPr>
                <w:rFonts w:eastAsia="Calibri"/>
                <w:sz w:val="22"/>
                <w:szCs w:val="22"/>
                <w:lang w:eastAsia="en-US"/>
              </w:rPr>
            </w:pPr>
            <w:r w:rsidRPr="00DB145C">
              <w:rPr>
                <w:rFonts w:eastAsia="Calibri"/>
                <w:sz w:val="22"/>
                <w:szCs w:val="22"/>
                <w:lang w:eastAsia="en-US"/>
              </w:rPr>
              <w:t>4.</w:t>
            </w:r>
          </w:p>
        </w:tc>
        <w:tc>
          <w:tcPr>
            <w:tcW w:w="1080" w:type="pct"/>
            <w:shd w:val="clear" w:color="auto" w:fill="auto"/>
          </w:tcPr>
          <w:p w14:paraId="0148A62A" w14:textId="77777777" w:rsidR="005708F4" w:rsidRPr="00DB145C" w:rsidRDefault="005708F4" w:rsidP="00F41EB5">
            <w:pPr>
              <w:rPr>
                <w:rFonts w:eastAsia="Calibri"/>
                <w:sz w:val="22"/>
                <w:szCs w:val="22"/>
                <w:lang w:eastAsia="en-US"/>
              </w:rPr>
            </w:pPr>
            <w:r w:rsidRPr="00DB145C">
              <w:rPr>
                <w:rFonts w:eastAsia="Calibri"/>
                <w:sz w:val="22"/>
                <w:szCs w:val="22"/>
                <w:lang w:eastAsia="en-US"/>
              </w:rPr>
              <w:t>Įstaigos finansinių įsipareigojimų dalis nuo metinio įstaigos biudžeto</w:t>
            </w:r>
          </w:p>
        </w:tc>
        <w:tc>
          <w:tcPr>
            <w:tcW w:w="1141" w:type="pct"/>
            <w:shd w:val="clear" w:color="auto" w:fill="auto"/>
          </w:tcPr>
          <w:p w14:paraId="5B1B5234" w14:textId="77777777" w:rsidR="005708F4" w:rsidRPr="00F41EB5" w:rsidRDefault="005708F4" w:rsidP="00F41EB5">
            <w:pPr>
              <w:jc w:val="both"/>
              <w:rPr>
                <w:rFonts w:eastAsia="Calibri"/>
                <w:sz w:val="22"/>
                <w:szCs w:val="22"/>
                <w:lang w:eastAsia="en-US"/>
              </w:rPr>
            </w:pPr>
            <w:r w:rsidRPr="006B1CE7">
              <w:t>Įsipareigojimų koeficientas ne didesnis kaip 0,10</w:t>
            </w:r>
          </w:p>
        </w:tc>
        <w:tc>
          <w:tcPr>
            <w:tcW w:w="2035" w:type="pct"/>
            <w:gridSpan w:val="2"/>
            <w:shd w:val="clear" w:color="auto" w:fill="auto"/>
          </w:tcPr>
          <w:p w14:paraId="422D7087" w14:textId="7B739E28" w:rsidR="005708F4" w:rsidRPr="007A1438" w:rsidRDefault="005708F4" w:rsidP="00826DD6"/>
          <w:p w14:paraId="6442D5F7" w14:textId="77777777" w:rsidR="005708F4" w:rsidRPr="007A1438" w:rsidRDefault="005708F4" w:rsidP="00826DD6">
            <w:pPr>
              <w:rPr>
                <w:sz w:val="22"/>
                <w:szCs w:val="22"/>
                <w:lang w:eastAsia="en-US"/>
              </w:rPr>
            </w:pPr>
          </w:p>
        </w:tc>
        <w:tc>
          <w:tcPr>
            <w:tcW w:w="545" w:type="pct"/>
          </w:tcPr>
          <w:p w14:paraId="73174649" w14:textId="0834582B" w:rsidR="005708F4" w:rsidRPr="007A1438" w:rsidRDefault="005708F4" w:rsidP="005708F4">
            <w:pPr>
              <w:jc w:val="center"/>
              <w:rPr>
                <w:rFonts w:eastAsia="Calibri"/>
                <w:sz w:val="22"/>
                <w:szCs w:val="22"/>
                <w:lang w:eastAsia="en-US"/>
              </w:rPr>
            </w:pPr>
          </w:p>
        </w:tc>
      </w:tr>
      <w:tr w:rsidR="005708F4" w:rsidRPr="00F41EB5" w14:paraId="26F7D3C8" w14:textId="77777777" w:rsidTr="00C51769">
        <w:tc>
          <w:tcPr>
            <w:tcW w:w="199" w:type="pct"/>
            <w:shd w:val="clear" w:color="auto" w:fill="auto"/>
          </w:tcPr>
          <w:p w14:paraId="43891252"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5.</w:t>
            </w:r>
          </w:p>
        </w:tc>
        <w:tc>
          <w:tcPr>
            <w:tcW w:w="1080" w:type="pct"/>
            <w:shd w:val="clear" w:color="auto" w:fill="auto"/>
          </w:tcPr>
          <w:p w14:paraId="7C90A934" w14:textId="77777777" w:rsidR="005708F4" w:rsidRDefault="005708F4" w:rsidP="00F41EB5">
            <w:pPr>
              <w:rPr>
                <w:rFonts w:eastAsia="Calibri"/>
                <w:sz w:val="22"/>
                <w:szCs w:val="22"/>
                <w:lang w:eastAsia="en-US"/>
              </w:rPr>
            </w:pPr>
            <w:r w:rsidRPr="00F41EB5">
              <w:rPr>
                <w:rFonts w:eastAsia="Calibri"/>
                <w:sz w:val="22"/>
                <w:szCs w:val="22"/>
                <w:lang w:eastAsia="en-US"/>
              </w:rPr>
              <w:t>Papildomų finansavimo šaltinių pritraukimas</w:t>
            </w:r>
          </w:p>
          <w:p w14:paraId="54B832CA" w14:textId="77777777" w:rsidR="005708F4" w:rsidRPr="00F41EB5" w:rsidRDefault="005708F4" w:rsidP="00F41EB5">
            <w:pPr>
              <w:rPr>
                <w:rFonts w:eastAsia="Calibri"/>
                <w:color w:val="000000"/>
                <w:sz w:val="22"/>
                <w:szCs w:val="22"/>
                <w:lang w:eastAsia="en-US"/>
              </w:rPr>
            </w:pPr>
          </w:p>
        </w:tc>
        <w:tc>
          <w:tcPr>
            <w:tcW w:w="1141" w:type="pct"/>
            <w:shd w:val="clear" w:color="auto" w:fill="auto"/>
          </w:tcPr>
          <w:p w14:paraId="398155CF" w14:textId="77777777" w:rsidR="005708F4" w:rsidRPr="00F41EB5" w:rsidRDefault="005708F4" w:rsidP="00F41EB5">
            <w:pPr>
              <w:jc w:val="both"/>
              <w:rPr>
                <w:rFonts w:eastAsia="Calibri"/>
                <w:sz w:val="22"/>
                <w:szCs w:val="22"/>
                <w:lang w:eastAsia="en-US"/>
              </w:rPr>
            </w:pPr>
            <w:r w:rsidRPr="00F41EB5">
              <w:rPr>
                <w:rFonts w:eastAsia="Calibri"/>
                <w:sz w:val="22"/>
                <w:szCs w:val="22"/>
                <w:lang w:eastAsia="en-US"/>
              </w:rPr>
              <w:t>Nenustatoma, tik stebima</w:t>
            </w:r>
          </w:p>
        </w:tc>
        <w:tc>
          <w:tcPr>
            <w:tcW w:w="2035" w:type="pct"/>
            <w:gridSpan w:val="2"/>
            <w:shd w:val="clear" w:color="auto" w:fill="auto"/>
          </w:tcPr>
          <w:p w14:paraId="31C5CBA7" w14:textId="3DCA3749" w:rsidR="005708F4" w:rsidRPr="00F41EB5" w:rsidRDefault="005708F4" w:rsidP="00302C91">
            <w:pPr>
              <w:rPr>
                <w:rFonts w:eastAsia="Calibri"/>
                <w:sz w:val="22"/>
                <w:szCs w:val="22"/>
                <w:lang w:eastAsia="en-US"/>
              </w:rPr>
            </w:pPr>
          </w:p>
        </w:tc>
        <w:tc>
          <w:tcPr>
            <w:tcW w:w="545" w:type="pct"/>
          </w:tcPr>
          <w:p w14:paraId="0C229D43" w14:textId="5B2710A8" w:rsidR="005708F4" w:rsidRDefault="005708F4" w:rsidP="00363AB6">
            <w:pPr>
              <w:jc w:val="center"/>
              <w:rPr>
                <w:rFonts w:eastAsia="Calibri"/>
                <w:sz w:val="22"/>
                <w:szCs w:val="22"/>
                <w:lang w:eastAsia="en-US"/>
              </w:rPr>
            </w:pPr>
          </w:p>
        </w:tc>
      </w:tr>
      <w:tr w:rsidR="005708F4" w:rsidRPr="00F41EB5" w14:paraId="06E9B750" w14:textId="77777777" w:rsidTr="005708F4">
        <w:tc>
          <w:tcPr>
            <w:tcW w:w="4455" w:type="pct"/>
            <w:gridSpan w:val="5"/>
            <w:shd w:val="clear" w:color="auto" w:fill="auto"/>
          </w:tcPr>
          <w:p w14:paraId="0C845B3A" w14:textId="77777777" w:rsidR="005708F4" w:rsidRDefault="005708F4" w:rsidP="00F41EB5">
            <w:pPr>
              <w:rPr>
                <w:rFonts w:eastAsia="Calibri"/>
                <w:b/>
                <w:sz w:val="22"/>
                <w:szCs w:val="22"/>
                <w:lang w:eastAsia="en-US"/>
              </w:rPr>
            </w:pPr>
          </w:p>
          <w:p w14:paraId="4CAC830E" w14:textId="77777777" w:rsidR="005708F4" w:rsidRPr="00B06F9D" w:rsidRDefault="005708F4" w:rsidP="00B06F9D">
            <w:pPr>
              <w:pStyle w:val="Sraopastraipa"/>
              <w:numPr>
                <w:ilvl w:val="0"/>
                <w:numId w:val="5"/>
              </w:numPr>
              <w:rPr>
                <w:rFonts w:eastAsia="Calibri"/>
                <w:b/>
                <w:sz w:val="22"/>
                <w:szCs w:val="22"/>
                <w:lang w:eastAsia="en-US"/>
              </w:rPr>
            </w:pPr>
            <w:r w:rsidRPr="00B06F9D">
              <w:rPr>
                <w:rFonts w:eastAsia="Calibri"/>
                <w:b/>
                <w:sz w:val="22"/>
                <w:szCs w:val="22"/>
                <w:lang w:eastAsia="en-US"/>
              </w:rPr>
              <w:t>Veiklos rezultatų vertinimo rodikliai:</w:t>
            </w:r>
          </w:p>
          <w:p w14:paraId="112C98C4" w14:textId="77777777" w:rsidR="005708F4" w:rsidRPr="00B06F9D" w:rsidRDefault="005708F4" w:rsidP="00B06F9D">
            <w:pPr>
              <w:pStyle w:val="Sraopastraipa"/>
              <w:rPr>
                <w:rFonts w:eastAsia="Calibri"/>
                <w:b/>
                <w:sz w:val="22"/>
                <w:szCs w:val="22"/>
                <w:lang w:eastAsia="en-US"/>
              </w:rPr>
            </w:pPr>
          </w:p>
        </w:tc>
        <w:tc>
          <w:tcPr>
            <w:tcW w:w="545" w:type="pct"/>
          </w:tcPr>
          <w:p w14:paraId="76ED4129" w14:textId="77777777" w:rsidR="005708F4" w:rsidRDefault="005708F4" w:rsidP="00F41EB5">
            <w:pPr>
              <w:rPr>
                <w:rFonts w:eastAsia="Calibri"/>
                <w:b/>
                <w:sz w:val="22"/>
                <w:szCs w:val="22"/>
                <w:lang w:eastAsia="en-US"/>
              </w:rPr>
            </w:pPr>
          </w:p>
        </w:tc>
      </w:tr>
      <w:tr w:rsidR="005708F4" w:rsidRPr="00F41EB5" w14:paraId="5DC64BAF" w14:textId="77777777" w:rsidTr="00C51769">
        <w:tc>
          <w:tcPr>
            <w:tcW w:w="199" w:type="pct"/>
            <w:shd w:val="clear" w:color="auto" w:fill="auto"/>
          </w:tcPr>
          <w:p w14:paraId="4F2A1D73" w14:textId="77777777" w:rsidR="005708F4" w:rsidRPr="00F41EB5" w:rsidRDefault="005708F4" w:rsidP="00F41EB5">
            <w:pPr>
              <w:rPr>
                <w:rFonts w:eastAsia="Calibri"/>
                <w:sz w:val="22"/>
                <w:szCs w:val="22"/>
                <w:lang w:eastAsia="en-US"/>
              </w:rPr>
            </w:pPr>
            <w:r w:rsidRPr="00F41EB5">
              <w:rPr>
                <w:rFonts w:eastAsia="Calibri"/>
                <w:sz w:val="22"/>
                <w:szCs w:val="22"/>
                <w:lang w:eastAsia="en-US"/>
              </w:rPr>
              <w:t xml:space="preserve">1. </w:t>
            </w:r>
          </w:p>
        </w:tc>
        <w:tc>
          <w:tcPr>
            <w:tcW w:w="1080" w:type="pct"/>
            <w:shd w:val="clear" w:color="auto" w:fill="auto"/>
          </w:tcPr>
          <w:p w14:paraId="1DB8B71F" w14:textId="77777777" w:rsidR="005708F4" w:rsidRDefault="005708F4" w:rsidP="00F41EB5">
            <w:pPr>
              <w:contextualSpacing/>
              <w:rPr>
                <w:rFonts w:eastAsia="Calibri"/>
                <w:sz w:val="22"/>
                <w:szCs w:val="22"/>
                <w:lang w:eastAsia="en-US"/>
              </w:rPr>
            </w:pPr>
            <w:r w:rsidRPr="00F41EB5">
              <w:rPr>
                <w:rFonts w:eastAsia="Calibri"/>
                <w:sz w:val="22"/>
                <w:szCs w:val="22"/>
                <w:lang w:eastAsia="en-US"/>
              </w:rPr>
              <w:t>Pacientų pasitenkinimo įstaigos teikiamomis ASPP lygis, tai yra pacientų teigiamai įvertintų įstaigoje suteiktų paslaugų skaičiaus dalis nuo visų per metus suteiktų ASPP skaičiaus pagal SAM ministro nustatytas paslaugų grupes</w:t>
            </w:r>
          </w:p>
          <w:p w14:paraId="5255DAC8" w14:textId="77777777" w:rsidR="005708F4" w:rsidRPr="00F41EB5" w:rsidRDefault="005708F4" w:rsidP="00F41EB5">
            <w:pPr>
              <w:contextualSpacing/>
              <w:rPr>
                <w:rFonts w:eastAsia="Calibri"/>
                <w:b/>
                <w:sz w:val="22"/>
                <w:szCs w:val="22"/>
                <w:lang w:eastAsia="en-US"/>
              </w:rPr>
            </w:pPr>
          </w:p>
        </w:tc>
        <w:tc>
          <w:tcPr>
            <w:tcW w:w="1141" w:type="pct"/>
            <w:shd w:val="clear" w:color="auto" w:fill="auto"/>
          </w:tcPr>
          <w:p w14:paraId="42B6FF2D" w14:textId="77777777" w:rsidR="005708F4" w:rsidRPr="00F41EB5" w:rsidRDefault="005708F4" w:rsidP="00F41EB5">
            <w:pPr>
              <w:contextualSpacing/>
              <w:rPr>
                <w:rFonts w:eastAsia="Calibri"/>
                <w:sz w:val="22"/>
                <w:szCs w:val="22"/>
                <w:lang w:eastAsia="en-US"/>
              </w:rPr>
            </w:pPr>
            <w:r w:rsidRPr="00F41EB5">
              <w:rPr>
                <w:rFonts w:eastAsia="Calibri"/>
                <w:sz w:val="22"/>
                <w:szCs w:val="22"/>
                <w:lang w:eastAsia="en-US"/>
              </w:rPr>
              <w:t>Nenustatoma, tik stebima</w:t>
            </w:r>
          </w:p>
        </w:tc>
        <w:tc>
          <w:tcPr>
            <w:tcW w:w="2035" w:type="pct"/>
            <w:gridSpan w:val="2"/>
            <w:shd w:val="clear" w:color="auto" w:fill="auto"/>
          </w:tcPr>
          <w:p w14:paraId="016836FF" w14:textId="6696BDCB" w:rsidR="005708F4" w:rsidRPr="00F41EB5" w:rsidRDefault="005708F4" w:rsidP="00F41EB5">
            <w:pPr>
              <w:rPr>
                <w:rFonts w:eastAsia="Calibri"/>
                <w:sz w:val="22"/>
                <w:szCs w:val="22"/>
                <w:lang w:eastAsia="en-US"/>
              </w:rPr>
            </w:pPr>
          </w:p>
        </w:tc>
        <w:tc>
          <w:tcPr>
            <w:tcW w:w="545" w:type="pct"/>
          </w:tcPr>
          <w:p w14:paraId="1612795B" w14:textId="04B6EF3A" w:rsidR="005708F4" w:rsidRDefault="005708F4" w:rsidP="006B1B33">
            <w:pPr>
              <w:jc w:val="center"/>
              <w:rPr>
                <w:rFonts w:eastAsia="Calibri"/>
                <w:sz w:val="22"/>
                <w:szCs w:val="22"/>
                <w:lang w:eastAsia="en-US"/>
              </w:rPr>
            </w:pPr>
          </w:p>
        </w:tc>
      </w:tr>
      <w:tr w:rsidR="005708F4" w:rsidRPr="00F41EB5" w14:paraId="30E116BF" w14:textId="77777777" w:rsidTr="00C51769">
        <w:tc>
          <w:tcPr>
            <w:tcW w:w="199" w:type="pct"/>
            <w:shd w:val="clear" w:color="auto" w:fill="auto"/>
          </w:tcPr>
          <w:p w14:paraId="1B5263B0" w14:textId="77777777" w:rsidR="005708F4" w:rsidRPr="00F41EB5" w:rsidRDefault="005708F4" w:rsidP="00F41EB5">
            <w:pPr>
              <w:rPr>
                <w:rFonts w:eastAsia="Calibri"/>
                <w:sz w:val="22"/>
                <w:szCs w:val="22"/>
                <w:lang w:eastAsia="en-US"/>
              </w:rPr>
            </w:pPr>
            <w:r w:rsidRPr="00F41EB5">
              <w:rPr>
                <w:rFonts w:eastAsia="Calibri"/>
                <w:sz w:val="22"/>
                <w:szCs w:val="22"/>
                <w:lang w:eastAsia="en-US"/>
              </w:rPr>
              <w:t>2.</w:t>
            </w:r>
          </w:p>
        </w:tc>
        <w:tc>
          <w:tcPr>
            <w:tcW w:w="1080" w:type="pct"/>
            <w:shd w:val="clear" w:color="auto" w:fill="auto"/>
          </w:tcPr>
          <w:p w14:paraId="42C71055" w14:textId="77777777" w:rsidR="005708F4" w:rsidRDefault="005708F4" w:rsidP="00F41EB5">
            <w:pPr>
              <w:rPr>
                <w:rFonts w:eastAsia="Calibri"/>
                <w:sz w:val="22"/>
                <w:szCs w:val="22"/>
                <w:lang w:eastAsia="en-US"/>
              </w:rPr>
            </w:pPr>
            <w:r w:rsidRPr="00F41EB5">
              <w:rPr>
                <w:rFonts w:eastAsia="Calibri"/>
                <w:sz w:val="22"/>
                <w:szCs w:val="22"/>
                <w:lang w:eastAsia="en-US"/>
              </w:rPr>
              <w:t>Įstaigoje gautų pacientų skundų dėl įstaigoje suteiktų ASPP skaičius per metus ir pagrįstų skundų dalis</w:t>
            </w:r>
          </w:p>
          <w:p w14:paraId="69CA6BF6" w14:textId="77777777" w:rsidR="005708F4" w:rsidRPr="00F41EB5" w:rsidRDefault="005708F4" w:rsidP="00F41EB5">
            <w:pPr>
              <w:rPr>
                <w:rFonts w:eastAsia="Calibri"/>
                <w:sz w:val="22"/>
                <w:szCs w:val="22"/>
                <w:lang w:eastAsia="en-US"/>
              </w:rPr>
            </w:pPr>
          </w:p>
        </w:tc>
        <w:tc>
          <w:tcPr>
            <w:tcW w:w="1141" w:type="pct"/>
            <w:shd w:val="clear" w:color="auto" w:fill="auto"/>
          </w:tcPr>
          <w:p w14:paraId="159CA977" w14:textId="77777777" w:rsidR="005708F4" w:rsidRPr="00F41EB5" w:rsidRDefault="005708F4" w:rsidP="00F41EB5">
            <w:pPr>
              <w:rPr>
                <w:rFonts w:eastAsia="Calibri"/>
                <w:sz w:val="22"/>
                <w:szCs w:val="22"/>
                <w:lang w:eastAsia="en-US"/>
              </w:rPr>
            </w:pPr>
            <w:r w:rsidRPr="00F41EB5">
              <w:rPr>
                <w:rFonts w:eastAsia="Calibri"/>
                <w:sz w:val="22"/>
                <w:szCs w:val="22"/>
                <w:lang w:eastAsia="en-US"/>
              </w:rPr>
              <w:t>Nenustatoma, tik stebima</w:t>
            </w:r>
          </w:p>
        </w:tc>
        <w:tc>
          <w:tcPr>
            <w:tcW w:w="2035" w:type="pct"/>
            <w:gridSpan w:val="2"/>
            <w:shd w:val="clear" w:color="auto" w:fill="auto"/>
          </w:tcPr>
          <w:p w14:paraId="361DFFB1" w14:textId="3FFC0D02" w:rsidR="005708F4" w:rsidRPr="00F41EB5" w:rsidRDefault="005708F4" w:rsidP="00F41EB5">
            <w:pPr>
              <w:rPr>
                <w:rFonts w:eastAsia="Calibri"/>
                <w:sz w:val="22"/>
                <w:szCs w:val="22"/>
                <w:lang w:eastAsia="en-US"/>
              </w:rPr>
            </w:pPr>
          </w:p>
        </w:tc>
        <w:tc>
          <w:tcPr>
            <w:tcW w:w="545" w:type="pct"/>
          </w:tcPr>
          <w:p w14:paraId="37E6EB63" w14:textId="790430A6" w:rsidR="005708F4" w:rsidRDefault="005708F4" w:rsidP="006B1B33">
            <w:pPr>
              <w:jc w:val="center"/>
              <w:rPr>
                <w:rFonts w:eastAsia="Calibri"/>
                <w:sz w:val="22"/>
                <w:szCs w:val="22"/>
                <w:lang w:eastAsia="en-US"/>
              </w:rPr>
            </w:pPr>
          </w:p>
        </w:tc>
      </w:tr>
      <w:tr w:rsidR="005708F4" w:rsidRPr="00F41EB5" w14:paraId="1D726ABD" w14:textId="77777777" w:rsidTr="00C51769">
        <w:tc>
          <w:tcPr>
            <w:tcW w:w="199" w:type="pct"/>
            <w:shd w:val="clear" w:color="auto" w:fill="auto"/>
          </w:tcPr>
          <w:p w14:paraId="463278CD" w14:textId="77777777" w:rsidR="005708F4" w:rsidRPr="00F41EB5" w:rsidRDefault="005708F4" w:rsidP="00F41EB5">
            <w:pPr>
              <w:rPr>
                <w:rFonts w:eastAsia="Calibri"/>
                <w:sz w:val="22"/>
                <w:szCs w:val="22"/>
                <w:lang w:eastAsia="en-US"/>
              </w:rPr>
            </w:pPr>
            <w:r w:rsidRPr="00F41EB5">
              <w:rPr>
                <w:rFonts w:eastAsia="Calibri"/>
                <w:sz w:val="22"/>
                <w:szCs w:val="22"/>
                <w:lang w:eastAsia="en-US"/>
              </w:rPr>
              <w:t>3.</w:t>
            </w:r>
          </w:p>
        </w:tc>
        <w:tc>
          <w:tcPr>
            <w:tcW w:w="1080" w:type="pct"/>
            <w:shd w:val="clear" w:color="auto" w:fill="auto"/>
          </w:tcPr>
          <w:p w14:paraId="19511B07" w14:textId="77777777" w:rsidR="005708F4" w:rsidRPr="00F41EB5" w:rsidRDefault="005708F4" w:rsidP="00363AB6">
            <w:pPr>
              <w:rPr>
                <w:rFonts w:eastAsia="Calibri"/>
                <w:color w:val="000000"/>
                <w:sz w:val="22"/>
                <w:szCs w:val="22"/>
                <w:lang w:eastAsia="en-US"/>
              </w:rPr>
            </w:pPr>
            <w:r w:rsidRPr="00F41EB5">
              <w:rPr>
                <w:rFonts w:eastAsia="Calibri"/>
                <w:sz w:val="22"/>
                <w:szCs w:val="22"/>
                <w:lang w:eastAsia="en-US"/>
              </w:rPr>
              <w:t>Įstaigoje gautų pagrįstų skundų dalis nuo visų įstaigoje suteiktų ASPP skaičiaus per metus pagal sveikatos apsaugos ministro nustatytas paslaugų grupes</w:t>
            </w:r>
          </w:p>
        </w:tc>
        <w:tc>
          <w:tcPr>
            <w:tcW w:w="1141" w:type="pct"/>
            <w:shd w:val="clear" w:color="auto" w:fill="auto"/>
          </w:tcPr>
          <w:p w14:paraId="5786AB1E" w14:textId="77777777" w:rsidR="005708F4" w:rsidRPr="00F41EB5" w:rsidRDefault="005708F4" w:rsidP="00F41EB5">
            <w:pPr>
              <w:rPr>
                <w:rFonts w:eastAsia="Calibri"/>
                <w:sz w:val="22"/>
                <w:szCs w:val="22"/>
                <w:lang w:eastAsia="en-US"/>
              </w:rPr>
            </w:pPr>
            <w:r w:rsidRPr="00F41EB5">
              <w:rPr>
                <w:rFonts w:eastAsia="Calibri"/>
                <w:sz w:val="22"/>
                <w:szCs w:val="22"/>
                <w:lang w:eastAsia="en-US"/>
              </w:rPr>
              <w:t>Nenustatoma, tik stebima</w:t>
            </w:r>
          </w:p>
        </w:tc>
        <w:tc>
          <w:tcPr>
            <w:tcW w:w="2035" w:type="pct"/>
            <w:gridSpan w:val="2"/>
            <w:shd w:val="clear" w:color="auto" w:fill="auto"/>
          </w:tcPr>
          <w:p w14:paraId="645F73FD" w14:textId="438BCDA8" w:rsidR="005708F4" w:rsidRPr="00F41EB5" w:rsidRDefault="005708F4" w:rsidP="00CD1BB4">
            <w:pPr>
              <w:rPr>
                <w:rFonts w:eastAsia="Calibri"/>
                <w:sz w:val="22"/>
                <w:szCs w:val="22"/>
                <w:lang w:eastAsia="en-US"/>
              </w:rPr>
            </w:pPr>
          </w:p>
        </w:tc>
        <w:tc>
          <w:tcPr>
            <w:tcW w:w="545" w:type="pct"/>
          </w:tcPr>
          <w:p w14:paraId="3CF1A5CC" w14:textId="30CB536E" w:rsidR="005708F4" w:rsidRDefault="005708F4" w:rsidP="006B1B33">
            <w:pPr>
              <w:jc w:val="center"/>
              <w:rPr>
                <w:rFonts w:eastAsia="Calibri"/>
                <w:sz w:val="22"/>
                <w:szCs w:val="22"/>
                <w:lang w:eastAsia="en-US"/>
              </w:rPr>
            </w:pPr>
          </w:p>
        </w:tc>
      </w:tr>
      <w:tr w:rsidR="005708F4" w:rsidRPr="00F41EB5" w14:paraId="66C51430" w14:textId="77777777" w:rsidTr="00C51769">
        <w:tc>
          <w:tcPr>
            <w:tcW w:w="199" w:type="pct"/>
            <w:shd w:val="clear" w:color="auto" w:fill="auto"/>
          </w:tcPr>
          <w:p w14:paraId="49759027" w14:textId="77777777" w:rsidR="005708F4" w:rsidRPr="00F41EB5" w:rsidRDefault="005708F4" w:rsidP="00F41EB5">
            <w:pPr>
              <w:rPr>
                <w:rFonts w:eastAsia="Calibri"/>
                <w:sz w:val="22"/>
                <w:szCs w:val="22"/>
                <w:lang w:eastAsia="en-US"/>
              </w:rPr>
            </w:pPr>
            <w:r w:rsidRPr="00F41EB5">
              <w:rPr>
                <w:rFonts w:eastAsia="Calibri"/>
                <w:sz w:val="22"/>
                <w:szCs w:val="22"/>
                <w:lang w:eastAsia="en-US"/>
              </w:rPr>
              <w:t>4.</w:t>
            </w:r>
          </w:p>
        </w:tc>
        <w:tc>
          <w:tcPr>
            <w:tcW w:w="1080" w:type="pct"/>
            <w:shd w:val="clear" w:color="auto" w:fill="auto"/>
          </w:tcPr>
          <w:p w14:paraId="3E280A8D" w14:textId="77777777" w:rsidR="005708F4" w:rsidRPr="00F41EB5" w:rsidRDefault="005708F4" w:rsidP="00F41EB5">
            <w:pPr>
              <w:rPr>
                <w:rFonts w:eastAsia="Calibri"/>
                <w:color w:val="000000"/>
                <w:sz w:val="22"/>
                <w:szCs w:val="22"/>
                <w:lang w:eastAsia="en-US"/>
              </w:rPr>
            </w:pPr>
            <w:r w:rsidRPr="00F41EB5">
              <w:rPr>
                <w:rFonts w:eastAsia="Calibri"/>
                <w:sz w:val="22"/>
                <w:szCs w:val="22"/>
                <w:lang w:eastAsia="en-US"/>
              </w:rPr>
              <w:t>Įstaigoje taikomų kovos su korupcija priemonės, numatytos SAM ministro tvirtinamoje Sveikatos priežiūros srities korupcijos prevencijos programoje</w:t>
            </w:r>
          </w:p>
        </w:tc>
        <w:tc>
          <w:tcPr>
            <w:tcW w:w="1141" w:type="pct"/>
            <w:shd w:val="clear" w:color="auto" w:fill="auto"/>
          </w:tcPr>
          <w:p w14:paraId="212989A8" w14:textId="77777777" w:rsidR="005708F4" w:rsidRPr="00F41EB5" w:rsidRDefault="005708F4" w:rsidP="00F41EB5">
            <w:pPr>
              <w:rPr>
                <w:rFonts w:eastAsia="Calibri"/>
                <w:sz w:val="22"/>
                <w:szCs w:val="22"/>
                <w:lang w:eastAsia="en-US"/>
              </w:rPr>
            </w:pPr>
            <w:r w:rsidRPr="006B1CE7">
              <w:t>Suteiktas skaidrios asmens sveikatos priežiūros įstaigos vardas</w:t>
            </w:r>
          </w:p>
        </w:tc>
        <w:tc>
          <w:tcPr>
            <w:tcW w:w="2035" w:type="pct"/>
            <w:gridSpan w:val="2"/>
            <w:shd w:val="clear" w:color="auto" w:fill="auto"/>
          </w:tcPr>
          <w:p w14:paraId="5192C1FB" w14:textId="6C4B0B59" w:rsidR="005708F4" w:rsidRPr="007A1438" w:rsidRDefault="005708F4" w:rsidP="00826DD6"/>
          <w:p w14:paraId="06288CC2" w14:textId="77777777" w:rsidR="005708F4" w:rsidRPr="007A1438" w:rsidRDefault="005708F4" w:rsidP="00826DD6">
            <w:pPr>
              <w:rPr>
                <w:rFonts w:eastAsia="Calibri"/>
                <w:sz w:val="22"/>
                <w:szCs w:val="22"/>
                <w:lang w:eastAsia="en-US"/>
              </w:rPr>
            </w:pPr>
          </w:p>
        </w:tc>
        <w:tc>
          <w:tcPr>
            <w:tcW w:w="545" w:type="pct"/>
          </w:tcPr>
          <w:p w14:paraId="5CACA865" w14:textId="034C7802" w:rsidR="005708F4" w:rsidRDefault="005708F4" w:rsidP="005708F4">
            <w:pPr>
              <w:jc w:val="center"/>
            </w:pPr>
          </w:p>
        </w:tc>
      </w:tr>
      <w:tr w:rsidR="00C51769" w:rsidRPr="00F41EB5" w14:paraId="3D51AFF0" w14:textId="77777777" w:rsidTr="00C51769">
        <w:tc>
          <w:tcPr>
            <w:tcW w:w="199" w:type="pct"/>
            <w:shd w:val="clear" w:color="auto" w:fill="auto"/>
          </w:tcPr>
          <w:p w14:paraId="31A46C0D" w14:textId="5F0C48AC" w:rsidR="00C51769" w:rsidRPr="00F41EB5" w:rsidRDefault="00C51769" w:rsidP="00C51769">
            <w:pPr>
              <w:rPr>
                <w:rFonts w:eastAsia="Calibri"/>
                <w:sz w:val="22"/>
                <w:szCs w:val="22"/>
                <w:lang w:eastAsia="en-US"/>
              </w:rPr>
            </w:pPr>
            <w:r>
              <w:rPr>
                <w:rFonts w:eastAsia="Calibri"/>
                <w:sz w:val="22"/>
                <w:szCs w:val="22"/>
                <w:lang w:eastAsia="en-US"/>
              </w:rPr>
              <w:t>5.</w:t>
            </w:r>
          </w:p>
        </w:tc>
        <w:tc>
          <w:tcPr>
            <w:tcW w:w="1080" w:type="pct"/>
            <w:shd w:val="clear" w:color="auto" w:fill="auto"/>
          </w:tcPr>
          <w:p w14:paraId="754CCAB8" w14:textId="77777777" w:rsidR="00C51769" w:rsidRDefault="00C51769" w:rsidP="00C51769">
            <w:pPr>
              <w:rPr>
                <w:rFonts w:eastAsia="Calibri"/>
                <w:sz w:val="22"/>
                <w:szCs w:val="22"/>
                <w:lang w:eastAsia="en-US"/>
              </w:rPr>
            </w:pPr>
            <w:r w:rsidRPr="00F41EB5">
              <w:rPr>
                <w:rFonts w:eastAsia="Calibri"/>
                <w:sz w:val="22"/>
                <w:szCs w:val="22"/>
                <w:lang w:eastAsia="en-US"/>
              </w:rPr>
              <w:t xml:space="preserve">Informacinių technologijų diegimo ir plėtros lygis (pacientų elektroninės registracijos sistema, įstaigos interneto svetainės išsamumas, darbuotojų darbo krūvio </w:t>
            </w:r>
            <w:r w:rsidRPr="00F41EB5">
              <w:rPr>
                <w:rFonts w:eastAsia="Calibri"/>
                <w:sz w:val="22"/>
                <w:szCs w:val="22"/>
                <w:lang w:eastAsia="en-US"/>
              </w:rPr>
              <w:lastRenderedPageBreak/>
              <w:t>apskaita, įstaigos dalyvavimo elektroninėje sveikatos sistemoje mastas)</w:t>
            </w:r>
          </w:p>
          <w:p w14:paraId="10F60CA3" w14:textId="77777777" w:rsidR="00C51769" w:rsidRPr="00F41EB5" w:rsidRDefault="00C51769" w:rsidP="00C51769">
            <w:pPr>
              <w:jc w:val="both"/>
              <w:rPr>
                <w:rFonts w:eastAsia="Calibri"/>
                <w:sz w:val="22"/>
                <w:szCs w:val="22"/>
                <w:lang w:eastAsia="en-US"/>
              </w:rPr>
            </w:pPr>
          </w:p>
        </w:tc>
        <w:tc>
          <w:tcPr>
            <w:tcW w:w="1141" w:type="pct"/>
            <w:shd w:val="clear" w:color="auto" w:fill="auto"/>
            <w:vAlign w:val="center"/>
          </w:tcPr>
          <w:p w14:paraId="1E09E5B0" w14:textId="77777777" w:rsidR="00C51769" w:rsidRDefault="00C51769" w:rsidP="00C51769">
            <w:pPr>
              <w:pStyle w:val="Default"/>
              <w:numPr>
                <w:ilvl w:val="1"/>
                <w:numId w:val="7"/>
              </w:numPr>
              <w:spacing w:line="252" w:lineRule="auto"/>
              <w:jc w:val="both"/>
              <w:rPr>
                <w:rFonts w:eastAsia="Times New Roman"/>
              </w:rPr>
            </w:pPr>
            <w:r>
              <w:rPr>
                <w:rFonts w:eastAsia="Times New Roman"/>
              </w:rPr>
              <w:lastRenderedPageBreak/>
              <w:t xml:space="preserve">Ne mažiau kaip 95 proc. visų </w:t>
            </w:r>
            <w:proofErr w:type="spellStart"/>
            <w:r>
              <w:rPr>
                <w:rFonts w:eastAsia="Times New Roman"/>
              </w:rPr>
              <w:t>epikrizių</w:t>
            </w:r>
            <w:proofErr w:type="spellEnd"/>
            <w:r>
              <w:rPr>
                <w:rFonts w:eastAsia="Times New Roman"/>
              </w:rPr>
              <w:t xml:space="preserve"> išrašoma el. būdu (e. dokumentas Nr. E003 „Stacionaro </w:t>
            </w:r>
            <w:proofErr w:type="spellStart"/>
            <w:r>
              <w:rPr>
                <w:rFonts w:eastAsia="Times New Roman"/>
              </w:rPr>
              <w:t>epikrizė</w:t>
            </w:r>
            <w:proofErr w:type="spellEnd"/>
            <w:r>
              <w:rPr>
                <w:rFonts w:eastAsia="Times New Roman"/>
              </w:rPr>
              <w:t xml:space="preserve">“, kurio duomenų sąrašas nustatytas Lietuvos Respublikos sveikatos apsaugos ministro </w:t>
            </w:r>
            <w:r>
              <w:rPr>
                <w:rFonts w:eastAsia="Times New Roman"/>
              </w:rPr>
              <w:lastRenderedPageBreak/>
              <w:t>2010 m. gruodžio 17 d. įsakyme Nr. V-1079 „Dėl Sveikatos priežiūros įstaigų informacinių sistemų susiejimo su e. sveikatos paslaugų ir bendradarbiavimo infrastruktūra reikalavimų ir techninių sąlygų patvirtinimo“ (toliau įsakymas Nr. V-1079),  (toliau – E003));</w:t>
            </w:r>
          </w:p>
          <w:p w14:paraId="7CBD59B1" w14:textId="77777777" w:rsidR="00C51769" w:rsidRDefault="00C51769" w:rsidP="00C51769">
            <w:pPr>
              <w:pStyle w:val="Default"/>
              <w:spacing w:line="252" w:lineRule="auto"/>
              <w:ind w:left="360"/>
              <w:jc w:val="both"/>
              <w:rPr>
                <w:rFonts w:eastAsiaTheme="minorHAnsi"/>
              </w:rPr>
            </w:pPr>
          </w:p>
          <w:p w14:paraId="0726C374" w14:textId="77777777" w:rsidR="00C51769" w:rsidRDefault="00C51769" w:rsidP="00C51769">
            <w:pPr>
              <w:pStyle w:val="Default"/>
              <w:numPr>
                <w:ilvl w:val="1"/>
                <w:numId w:val="7"/>
              </w:numPr>
              <w:spacing w:line="252" w:lineRule="auto"/>
              <w:jc w:val="both"/>
              <w:rPr>
                <w:rFonts w:eastAsia="Times New Roman"/>
              </w:rPr>
            </w:pPr>
            <w:r>
              <w:rPr>
                <w:rFonts w:eastAsia="Times New Roman"/>
              </w:rPr>
              <w:t>ASPĮ, išrašant e. receptus, vaistų sąveikų tikrinimo funkcionalumą naudoja pilna apimtimi;</w:t>
            </w:r>
          </w:p>
          <w:p w14:paraId="7524FF32" w14:textId="77777777" w:rsidR="00C51769" w:rsidRDefault="00C51769" w:rsidP="00C51769">
            <w:pPr>
              <w:pStyle w:val="Sraopastraipa"/>
            </w:pPr>
          </w:p>
          <w:p w14:paraId="6901A65B" w14:textId="275F1B00" w:rsidR="00C51769" w:rsidRPr="00F41EB5" w:rsidRDefault="00C51769" w:rsidP="00C51769">
            <w:pPr>
              <w:rPr>
                <w:rFonts w:eastAsia="Calibri"/>
                <w:color w:val="000000"/>
                <w:sz w:val="22"/>
                <w:szCs w:val="22"/>
                <w:lang w:eastAsia="en-GB"/>
              </w:rPr>
            </w:pPr>
            <w:r>
              <w:t>ASPĮ yra Išankstinės pacientų registracijos informacinės sistemos (toliau – IPR IS) dalyvis.</w:t>
            </w:r>
          </w:p>
        </w:tc>
        <w:tc>
          <w:tcPr>
            <w:tcW w:w="2035" w:type="pct"/>
            <w:gridSpan w:val="2"/>
            <w:shd w:val="clear" w:color="auto" w:fill="auto"/>
            <w:vAlign w:val="center"/>
          </w:tcPr>
          <w:p w14:paraId="069B8FF7" w14:textId="77777777" w:rsidR="00C51769" w:rsidRDefault="00C51769" w:rsidP="00C51769">
            <w:pPr>
              <w:pStyle w:val="Default"/>
              <w:numPr>
                <w:ilvl w:val="0"/>
                <w:numId w:val="8"/>
              </w:numPr>
              <w:spacing w:line="252" w:lineRule="auto"/>
              <w:jc w:val="both"/>
            </w:pPr>
            <w:r>
              <w:lastRenderedPageBreak/>
              <w:t>ASPĮ, išrašant e. receptus, vaistų sąveikų tikrinimo funkcionalumą naudoja pilna apimtimi;</w:t>
            </w:r>
          </w:p>
          <w:p w14:paraId="18EEBCB7" w14:textId="77777777" w:rsidR="00C51769" w:rsidRDefault="00C51769" w:rsidP="00C51769">
            <w:pPr>
              <w:pStyle w:val="Default"/>
              <w:spacing w:line="252" w:lineRule="auto"/>
              <w:jc w:val="both"/>
            </w:pPr>
          </w:p>
          <w:p w14:paraId="19CA84FC" w14:textId="77777777" w:rsidR="00C51769" w:rsidRDefault="00C51769" w:rsidP="00C51769">
            <w:pPr>
              <w:pStyle w:val="Default"/>
              <w:numPr>
                <w:ilvl w:val="0"/>
                <w:numId w:val="8"/>
              </w:numPr>
              <w:spacing w:line="252" w:lineRule="auto"/>
              <w:jc w:val="both"/>
              <w:rPr>
                <w:rFonts w:eastAsia="Times New Roman"/>
                <w:color w:val="FF0000"/>
              </w:rPr>
            </w:pPr>
            <w:r>
              <w:rPr>
                <w:rFonts w:eastAsia="Times New Roman"/>
              </w:rPr>
              <w:t>ASPĮ yra IPR IS dalyvis.</w:t>
            </w:r>
          </w:p>
          <w:p w14:paraId="095C7C7C" w14:textId="77777777" w:rsidR="00C51769" w:rsidRDefault="00C51769" w:rsidP="00C51769">
            <w:pPr>
              <w:spacing w:after="200" w:line="276" w:lineRule="auto"/>
              <w:rPr>
                <w:rFonts w:eastAsia="Calibri"/>
                <w:bCs/>
                <w:sz w:val="22"/>
                <w:szCs w:val="22"/>
                <w:lang w:eastAsia="en-US"/>
              </w:rPr>
            </w:pPr>
          </w:p>
          <w:p w14:paraId="3C2058B8" w14:textId="77777777" w:rsidR="00C51769" w:rsidRDefault="00C51769" w:rsidP="00C51769">
            <w:pPr>
              <w:spacing w:after="200" w:line="276" w:lineRule="auto"/>
              <w:rPr>
                <w:rFonts w:eastAsia="Calibri"/>
                <w:bCs/>
                <w:sz w:val="22"/>
                <w:szCs w:val="22"/>
                <w:lang w:eastAsia="en-US"/>
              </w:rPr>
            </w:pPr>
          </w:p>
          <w:p w14:paraId="3FF8631C" w14:textId="77777777" w:rsidR="00C51769" w:rsidRDefault="00C51769" w:rsidP="00C51769">
            <w:pPr>
              <w:spacing w:after="200" w:line="276" w:lineRule="auto"/>
              <w:rPr>
                <w:rFonts w:eastAsia="Calibri"/>
                <w:bCs/>
                <w:sz w:val="22"/>
                <w:szCs w:val="22"/>
                <w:lang w:eastAsia="en-US"/>
              </w:rPr>
            </w:pPr>
          </w:p>
          <w:p w14:paraId="36FF01F6" w14:textId="77777777" w:rsidR="00C51769" w:rsidRDefault="00C51769" w:rsidP="00C51769">
            <w:pPr>
              <w:spacing w:after="200" w:line="276" w:lineRule="auto"/>
              <w:rPr>
                <w:rFonts w:eastAsia="Calibri"/>
                <w:bCs/>
                <w:sz w:val="22"/>
                <w:szCs w:val="22"/>
                <w:lang w:eastAsia="en-US"/>
              </w:rPr>
            </w:pPr>
          </w:p>
          <w:p w14:paraId="6FFB1D92" w14:textId="77777777" w:rsidR="00C51769" w:rsidRDefault="00C51769" w:rsidP="00C51769">
            <w:pPr>
              <w:spacing w:after="200" w:line="276" w:lineRule="auto"/>
              <w:rPr>
                <w:rFonts w:eastAsia="Calibri"/>
                <w:bCs/>
                <w:sz w:val="22"/>
                <w:szCs w:val="22"/>
                <w:lang w:eastAsia="en-US"/>
              </w:rPr>
            </w:pPr>
          </w:p>
          <w:p w14:paraId="0FAA56C3" w14:textId="77777777" w:rsidR="00C51769" w:rsidRDefault="00C51769" w:rsidP="00C51769">
            <w:pPr>
              <w:spacing w:after="200" w:line="276" w:lineRule="auto"/>
              <w:rPr>
                <w:rFonts w:eastAsia="Calibri"/>
                <w:bCs/>
                <w:sz w:val="22"/>
                <w:szCs w:val="22"/>
                <w:lang w:eastAsia="en-US"/>
              </w:rPr>
            </w:pPr>
          </w:p>
          <w:p w14:paraId="14CF3FE6" w14:textId="77777777" w:rsidR="00C51769" w:rsidRDefault="00C51769" w:rsidP="00C51769">
            <w:pPr>
              <w:spacing w:after="200" w:line="276" w:lineRule="auto"/>
              <w:rPr>
                <w:rFonts w:eastAsia="Calibri"/>
                <w:bCs/>
                <w:sz w:val="22"/>
                <w:szCs w:val="22"/>
                <w:lang w:eastAsia="en-US"/>
              </w:rPr>
            </w:pPr>
          </w:p>
          <w:p w14:paraId="6DD311D9" w14:textId="77777777" w:rsidR="00C51769" w:rsidRDefault="00C51769" w:rsidP="00C51769">
            <w:pPr>
              <w:spacing w:after="200" w:line="276" w:lineRule="auto"/>
              <w:rPr>
                <w:rFonts w:eastAsia="Calibri"/>
                <w:bCs/>
                <w:sz w:val="22"/>
                <w:szCs w:val="22"/>
                <w:lang w:eastAsia="en-US"/>
              </w:rPr>
            </w:pPr>
          </w:p>
          <w:p w14:paraId="5560B3FB" w14:textId="77777777" w:rsidR="00C51769" w:rsidRDefault="00C51769" w:rsidP="00C51769">
            <w:pPr>
              <w:spacing w:after="200" w:line="276" w:lineRule="auto"/>
              <w:rPr>
                <w:rFonts w:eastAsia="Calibri"/>
                <w:bCs/>
                <w:sz w:val="22"/>
                <w:szCs w:val="22"/>
                <w:lang w:eastAsia="en-US"/>
              </w:rPr>
            </w:pPr>
          </w:p>
          <w:p w14:paraId="79E591A7" w14:textId="77777777" w:rsidR="00C51769" w:rsidRDefault="00C51769" w:rsidP="00C51769">
            <w:pPr>
              <w:spacing w:after="200" w:line="276" w:lineRule="auto"/>
              <w:rPr>
                <w:rFonts w:eastAsia="Calibri"/>
                <w:bCs/>
                <w:sz w:val="22"/>
                <w:szCs w:val="22"/>
                <w:lang w:eastAsia="en-US"/>
              </w:rPr>
            </w:pPr>
          </w:p>
          <w:p w14:paraId="77119BF7" w14:textId="77777777" w:rsidR="00C51769" w:rsidRDefault="00C51769" w:rsidP="00C51769">
            <w:pPr>
              <w:spacing w:after="200" w:line="276" w:lineRule="auto"/>
              <w:rPr>
                <w:rFonts w:eastAsia="Calibri"/>
                <w:bCs/>
                <w:sz w:val="22"/>
                <w:szCs w:val="22"/>
                <w:lang w:eastAsia="en-US"/>
              </w:rPr>
            </w:pPr>
          </w:p>
          <w:p w14:paraId="297B2E1A" w14:textId="04215AE8" w:rsidR="00C51769" w:rsidRPr="000E7E55" w:rsidRDefault="00C51769" w:rsidP="00C51769">
            <w:pPr>
              <w:spacing w:after="200" w:line="276" w:lineRule="auto"/>
              <w:rPr>
                <w:rFonts w:eastAsia="Calibri"/>
                <w:bCs/>
                <w:sz w:val="22"/>
                <w:szCs w:val="22"/>
                <w:lang w:eastAsia="en-US"/>
              </w:rPr>
            </w:pPr>
          </w:p>
        </w:tc>
        <w:tc>
          <w:tcPr>
            <w:tcW w:w="545" w:type="pct"/>
          </w:tcPr>
          <w:p w14:paraId="75A45B5B" w14:textId="79994CEF" w:rsidR="00C51769" w:rsidRPr="007A1438" w:rsidRDefault="00C51769" w:rsidP="00C51769">
            <w:pPr>
              <w:jc w:val="center"/>
            </w:pPr>
            <w:r>
              <w:rPr>
                <w:rFonts w:eastAsia="Calibri"/>
                <w:sz w:val="22"/>
                <w:szCs w:val="22"/>
                <w:lang w:eastAsia="en-US"/>
              </w:rPr>
              <w:lastRenderedPageBreak/>
              <w:t>5.</w:t>
            </w:r>
          </w:p>
        </w:tc>
      </w:tr>
      <w:tr w:rsidR="005708F4" w:rsidRPr="00F41EB5" w14:paraId="68984155" w14:textId="77777777" w:rsidTr="00C51769">
        <w:trPr>
          <w:trHeight w:val="338"/>
        </w:trPr>
        <w:tc>
          <w:tcPr>
            <w:tcW w:w="199" w:type="pct"/>
            <w:vMerge w:val="restart"/>
            <w:shd w:val="clear" w:color="auto" w:fill="auto"/>
          </w:tcPr>
          <w:p w14:paraId="01D76A06" w14:textId="77777777" w:rsidR="005708F4" w:rsidRDefault="005708F4" w:rsidP="00F41EB5">
            <w:pPr>
              <w:rPr>
                <w:rFonts w:eastAsia="Calibri"/>
                <w:sz w:val="22"/>
                <w:szCs w:val="22"/>
                <w:lang w:eastAsia="en-US"/>
              </w:rPr>
            </w:pPr>
            <w:r>
              <w:rPr>
                <w:rFonts w:eastAsia="Calibri"/>
                <w:sz w:val="22"/>
                <w:szCs w:val="22"/>
                <w:lang w:eastAsia="en-US"/>
              </w:rPr>
              <w:t>6.</w:t>
            </w:r>
          </w:p>
        </w:tc>
        <w:tc>
          <w:tcPr>
            <w:tcW w:w="1080" w:type="pct"/>
            <w:vMerge w:val="restart"/>
            <w:shd w:val="clear" w:color="auto" w:fill="auto"/>
          </w:tcPr>
          <w:p w14:paraId="400B27DE" w14:textId="77777777" w:rsidR="005708F4" w:rsidRDefault="005708F4" w:rsidP="007A1438">
            <w:pPr>
              <w:rPr>
                <w:rFonts w:eastAsia="Calibri"/>
                <w:sz w:val="22"/>
                <w:szCs w:val="22"/>
                <w:lang w:eastAsia="en-US"/>
              </w:rPr>
            </w:pPr>
            <w:r w:rsidRPr="00F41EB5">
              <w:rPr>
                <w:rFonts w:eastAsia="Calibri"/>
                <w:sz w:val="22"/>
                <w:szCs w:val="22"/>
                <w:lang w:eastAsia="en-US"/>
              </w:rPr>
              <w:t>Įstaigoj</w:t>
            </w:r>
            <w:r>
              <w:rPr>
                <w:rFonts w:eastAsia="Calibri"/>
                <w:sz w:val="22"/>
                <w:szCs w:val="22"/>
                <w:lang w:eastAsia="en-US"/>
              </w:rPr>
              <w:t>e</w:t>
            </w:r>
            <w:r w:rsidRPr="00F41EB5">
              <w:rPr>
                <w:rFonts w:eastAsia="Calibri"/>
                <w:sz w:val="22"/>
                <w:szCs w:val="22"/>
                <w:lang w:eastAsia="en-US"/>
              </w:rPr>
              <w:t xml:space="preserve"> suteiktų asmens sveikatos priežiūros paslaugų skaičius per ketvirtį ir per metus pagal sveikatos apsaugos ministro nustatytas paslaugų grupes</w:t>
            </w:r>
          </w:p>
          <w:p w14:paraId="070558A1" w14:textId="77777777" w:rsidR="005708F4" w:rsidRPr="00F41EB5" w:rsidRDefault="005708F4" w:rsidP="007A1438">
            <w:pPr>
              <w:rPr>
                <w:rFonts w:eastAsia="Calibri"/>
                <w:sz w:val="22"/>
                <w:szCs w:val="22"/>
                <w:lang w:eastAsia="en-US"/>
              </w:rPr>
            </w:pPr>
          </w:p>
        </w:tc>
        <w:tc>
          <w:tcPr>
            <w:tcW w:w="1141" w:type="pct"/>
            <w:vMerge w:val="restart"/>
            <w:shd w:val="clear" w:color="auto" w:fill="auto"/>
          </w:tcPr>
          <w:p w14:paraId="7325CEF5" w14:textId="77777777" w:rsidR="005708F4" w:rsidRPr="00DE11FF" w:rsidRDefault="005708F4" w:rsidP="00331AA5">
            <w:pPr>
              <w:pStyle w:val="Default"/>
              <w:ind w:firstLine="0"/>
              <w:jc w:val="both"/>
              <w:rPr>
                <w:rFonts w:ascii="Times New Roman" w:hAnsi="Times New Roman" w:cs="Times New Roman"/>
              </w:rPr>
            </w:pPr>
            <w:r w:rsidRPr="00DE11FF">
              <w:rPr>
                <w:rFonts w:ascii="Times New Roman" w:hAnsi="Times New Roman" w:cs="Times New Roman"/>
                <w:sz w:val="22"/>
                <w:szCs w:val="22"/>
                <w:lang w:eastAsia="en-US"/>
              </w:rPr>
              <w:t>Nenustatoma, tik stebima</w:t>
            </w:r>
          </w:p>
        </w:tc>
        <w:tc>
          <w:tcPr>
            <w:tcW w:w="1030" w:type="pct"/>
            <w:shd w:val="clear" w:color="auto" w:fill="auto"/>
          </w:tcPr>
          <w:p w14:paraId="0C818F3C" w14:textId="77777777" w:rsidR="005708F4" w:rsidRPr="008D22B6" w:rsidRDefault="005708F4" w:rsidP="008D22B6">
            <w:pPr>
              <w:jc w:val="center"/>
              <w:rPr>
                <w:b/>
              </w:rPr>
            </w:pPr>
            <w:r w:rsidRPr="008D22B6">
              <w:rPr>
                <w:b/>
              </w:rPr>
              <w:t>Paslauga</w:t>
            </w:r>
          </w:p>
        </w:tc>
        <w:tc>
          <w:tcPr>
            <w:tcW w:w="1005" w:type="pct"/>
            <w:shd w:val="clear" w:color="auto" w:fill="auto"/>
          </w:tcPr>
          <w:p w14:paraId="61609895" w14:textId="77777777" w:rsidR="005708F4" w:rsidRDefault="005708F4" w:rsidP="008D22B6">
            <w:pPr>
              <w:jc w:val="center"/>
              <w:rPr>
                <w:b/>
              </w:rPr>
            </w:pPr>
            <w:r w:rsidRPr="008D22B6">
              <w:rPr>
                <w:b/>
              </w:rPr>
              <w:t>Skaičius per</w:t>
            </w:r>
          </w:p>
          <w:p w14:paraId="51CA7747" w14:textId="4DCA0324" w:rsidR="005708F4" w:rsidRPr="008D22B6" w:rsidRDefault="005708F4" w:rsidP="008D22B6">
            <w:pPr>
              <w:jc w:val="center"/>
              <w:rPr>
                <w:b/>
              </w:rPr>
            </w:pPr>
            <w:r w:rsidRPr="008D22B6">
              <w:rPr>
                <w:b/>
              </w:rPr>
              <w:t xml:space="preserve"> 20</w:t>
            </w:r>
            <w:r w:rsidR="00B84E81">
              <w:rPr>
                <w:b/>
              </w:rPr>
              <w:t>2</w:t>
            </w:r>
            <w:r w:rsidR="008F7656">
              <w:rPr>
                <w:b/>
              </w:rPr>
              <w:t>1</w:t>
            </w:r>
            <w:r w:rsidRPr="008D22B6">
              <w:rPr>
                <w:b/>
              </w:rPr>
              <w:t xml:space="preserve"> metus</w:t>
            </w:r>
          </w:p>
        </w:tc>
        <w:tc>
          <w:tcPr>
            <w:tcW w:w="545" w:type="pct"/>
          </w:tcPr>
          <w:p w14:paraId="5F4EAEE4" w14:textId="715E69D4" w:rsidR="005708F4" w:rsidRPr="008D22B6" w:rsidRDefault="005708F4" w:rsidP="006B1B33">
            <w:pPr>
              <w:jc w:val="center"/>
              <w:rPr>
                <w:b/>
              </w:rPr>
            </w:pPr>
          </w:p>
        </w:tc>
      </w:tr>
      <w:tr w:rsidR="005708F4" w:rsidRPr="00F41EB5" w14:paraId="397AE0BD" w14:textId="77777777" w:rsidTr="00C51769">
        <w:trPr>
          <w:trHeight w:val="338"/>
        </w:trPr>
        <w:tc>
          <w:tcPr>
            <w:tcW w:w="199" w:type="pct"/>
            <w:vMerge/>
            <w:shd w:val="clear" w:color="auto" w:fill="auto"/>
          </w:tcPr>
          <w:p w14:paraId="340F5849" w14:textId="77777777" w:rsidR="005708F4" w:rsidRDefault="005708F4" w:rsidP="00F41EB5">
            <w:pPr>
              <w:rPr>
                <w:rFonts w:eastAsia="Calibri"/>
                <w:sz w:val="22"/>
                <w:szCs w:val="22"/>
                <w:lang w:eastAsia="en-US"/>
              </w:rPr>
            </w:pPr>
          </w:p>
        </w:tc>
        <w:tc>
          <w:tcPr>
            <w:tcW w:w="1080" w:type="pct"/>
            <w:vMerge/>
            <w:shd w:val="clear" w:color="auto" w:fill="auto"/>
          </w:tcPr>
          <w:p w14:paraId="4BBAAC67" w14:textId="77777777" w:rsidR="005708F4" w:rsidRPr="00F41EB5" w:rsidRDefault="005708F4" w:rsidP="007A1438">
            <w:pPr>
              <w:rPr>
                <w:rFonts w:eastAsia="Calibri"/>
                <w:sz w:val="22"/>
                <w:szCs w:val="22"/>
                <w:lang w:eastAsia="en-US"/>
              </w:rPr>
            </w:pPr>
          </w:p>
        </w:tc>
        <w:tc>
          <w:tcPr>
            <w:tcW w:w="1141" w:type="pct"/>
            <w:vMerge/>
            <w:shd w:val="clear" w:color="auto" w:fill="auto"/>
          </w:tcPr>
          <w:p w14:paraId="5374DAFC"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4501E125" w14:textId="77777777" w:rsidR="005708F4" w:rsidRPr="00DE11FF" w:rsidRDefault="005708F4" w:rsidP="005708F4">
            <w:r>
              <w:t>Gimdos kaklelio vėžio prevencijos programa</w:t>
            </w:r>
          </w:p>
        </w:tc>
        <w:tc>
          <w:tcPr>
            <w:tcW w:w="1005" w:type="pct"/>
            <w:shd w:val="clear" w:color="auto" w:fill="auto"/>
          </w:tcPr>
          <w:p w14:paraId="74271BFC" w14:textId="3418498E" w:rsidR="005708F4" w:rsidRPr="00DE11FF" w:rsidRDefault="005708F4" w:rsidP="00DE11FF">
            <w:pPr>
              <w:jc w:val="both"/>
            </w:pPr>
          </w:p>
        </w:tc>
        <w:tc>
          <w:tcPr>
            <w:tcW w:w="545" w:type="pct"/>
          </w:tcPr>
          <w:p w14:paraId="1B6980B2" w14:textId="4E0EDDA1" w:rsidR="005708F4" w:rsidRDefault="005708F4" w:rsidP="006B1B33">
            <w:pPr>
              <w:jc w:val="center"/>
            </w:pPr>
          </w:p>
        </w:tc>
      </w:tr>
      <w:tr w:rsidR="005708F4" w:rsidRPr="00F41EB5" w14:paraId="18F37DA3" w14:textId="77777777" w:rsidTr="00C51769">
        <w:trPr>
          <w:trHeight w:val="338"/>
        </w:trPr>
        <w:tc>
          <w:tcPr>
            <w:tcW w:w="199" w:type="pct"/>
            <w:vMerge/>
            <w:shd w:val="clear" w:color="auto" w:fill="auto"/>
          </w:tcPr>
          <w:p w14:paraId="3A0C95B7" w14:textId="77777777" w:rsidR="005708F4" w:rsidRDefault="005708F4" w:rsidP="00F41EB5">
            <w:pPr>
              <w:rPr>
                <w:rFonts w:eastAsia="Calibri"/>
                <w:sz w:val="22"/>
                <w:szCs w:val="22"/>
                <w:lang w:eastAsia="en-US"/>
              </w:rPr>
            </w:pPr>
          </w:p>
        </w:tc>
        <w:tc>
          <w:tcPr>
            <w:tcW w:w="1080" w:type="pct"/>
            <w:vMerge/>
            <w:shd w:val="clear" w:color="auto" w:fill="auto"/>
          </w:tcPr>
          <w:p w14:paraId="0FD86C45" w14:textId="77777777" w:rsidR="005708F4" w:rsidRPr="00F41EB5" w:rsidRDefault="005708F4" w:rsidP="007A1438">
            <w:pPr>
              <w:rPr>
                <w:rFonts w:eastAsia="Calibri"/>
                <w:sz w:val="22"/>
                <w:szCs w:val="22"/>
                <w:lang w:eastAsia="en-US"/>
              </w:rPr>
            </w:pPr>
          </w:p>
        </w:tc>
        <w:tc>
          <w:tcPr>
            <w:tcW w:w="1141" w:type="pct"/>
            <w:vMerge/>
            <w:shd w:val="clear" w:color="auto" w:fill="auto"/>
          </w:tcPr>
          <w:p w14:paraId="7CBE3DEC"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295A830B" w14:textId="77777777" w:rsidR="005708F4" w:rsidRPr="00DE11FF" w:rsidRDefault="005708F4" w:rsidP="005708F4">
            <w:r>
              <w:t>Krūties vėžio atrankinės patikros programa</w:t>
            </w:r>
          </w:p>
        </w:tc>
        <w:tc>
          <w:tcPr>
            <w:tcW w:w="1005" w:type="pct"/>
            <w:shd w:val="clear" w:color="auto" w:fill="auto"/>
          </w:tcPr>
          <w:p w14:paraId="1061FDAA" w14:textId="22CA98B7" w:rsidR="005708F4" w:rsidRPr="00DE11FF" w:rsidRDefault="005708F4" w:rsidP="00DE11FF">
            <w:pPr>
              <w:jc w:val="both"/>
            </w:pPr>
          </w:p>
        </w:tc>
        <w:tc>
          <w:tcPr>
            <w:tcW w:w="545" w:type="pct"/>
          </w:tcPr>
          <w:p w14:paraId="1A4D0CDF" w14:textId="2B594DD2" w:rsidR="005708F4" w:rsidRDefault="005708F4" w:rsidP="006B1B33">
            <w:pPr>
              <w:jc w:val="center"/>
            </w:pPr>
          </w:p>
        </w:tc>
      </w:tr>
      <w:tr w:rsidR="005708F4" w:rsidRPr="00F41EB5" w14:paraId="1CC82B6F" w14:textId="77777777" w:rsidTr="00C51769">
        <w:trPr>
          <w:trHeight w:val="338"/>
        </w:trPr>
        <w:tc>
          <w:tcPr>
            <w:tcW w:w="199" w:type="pct"/>
            <w:vMerge/>
            <w:shd w:val="clear" w:color="auto" w:fill="auto"/>
          </w:tcPr>
          <w:p w14:paraId="502799A6" w14:textId="77777777" w:rsidR="005708F4" w:rsidRDefault="005708F4" w:rsidP="00F41EB5">
            <w:pPr>
              <w:rPr>
                <w:rFonts w:eastAsia="Calibri"/>
                <w:sz w:val="22"/>
                <w:szCs w:val="22"/>
                <w:lang w:eastAsia="en-US"/>
              </w:rPr>
            </w:pPr>
          </w:p>
        </w:tc>
        <w:tc>
          <w:tcPr>
            <w:tcW w:w="1080" w:type="pct"/>
            <w:vMerge/>
            <w:shd w:val="clear" w:color="auto" w:fill="auto"/>
          </w:tcPr>
          <w:p w14:paraId="1A3E616E" w14:textId="77777777" w:rsidR="005708F4" w:rsidRPr="00F41EB5" w:rsidRDefault="005708F4" w:rsidP="007A1438">
            <w:pPr>
              <w:rPr>
                <w:rFonts w:eastAsia="Calibri"/>
                <w:sz w:val="22"/>
                <w:szCs w:val="22"/>
                <w:lang w:eastAsia="en-US"/>
              </w:rPr>
            </w:pPr>
          </w:p>
        </w:tc>
        <w:tc>
          <w:tcPr>
            <w:tcW w:w="1141" w:type="pct"/>
            <w:vMerge/>
            <w:shd w:val="clear" w:color="auto" w:fill="auto"/>
          </w:tcPr>
          <w:p w14:paraId="662C708E"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51E6EF3F" w14:textId="77777777" w:rsidR="005708F4" w:rsidRPr="00DE11FF" w:rsidRDefault="005708F4" w:rsidP="005708F4">
            <w:r>
              <w:t>Storosios žarnos vėžio ankstyvosios diagnostikos programa</w:t>
            </w:r>
          </w:p>
        </w:tc>
        <w:tc>
          <w:tcPr>
            <w:tcW w:w="1005" w:type="pct"/>
            <w:shd w:val="clear" w:color="auto" w:fill="auto"/>
          </w:tcPr>
          <w:p w14:paraId="237520CD" w14:textId="51516CEF" w:rsidR="005708F4" w:rsidRPr="00DE11FF" w:rsidRDefault="005708F4" w:rsidP="00DE11FF">
            <w:pPr>
              <w:jc w:val="both"/>
            </w:pPr>
          </w:p>
        </w:tc>
        <w:tc>
          <w:tcPr>
            <w:tcW w:w="545" w:type="pct"/>
          </w:tcPr>
          <w:p w14:paraId="5F7814F0" w14:textId="1C0B2D16" w:rsidR="005708F4" w:rsidRDefault="005708F4" w:rsidP="006B1B33">
            <w:pPr>
              <w:jc w:val="center"/>
            </w:pPr>
          </w:p>
        </w:tc>
      </w:tr>
      <w:tr w:rsidR="005708F4" w:rsidRPr="00F41EB5" w14:paraId="42A607FD" w14:textId="77777777" w:rsidTr="00C51769">
        <w:trPr>
          <w:trHeight w:val="338"/>
        </w:trPr>
        <w:tc>
          <w:tcPr>
            <w:tcW w:w="199" w:type="pct"/>
            <w:vMerge/>
            <w:shd w:val="clear" w:color="auto" w:fill="auto"/>
          </w:tcPr>
          <w:p w14:paraId="4636F88C" w14:textId="77777777" w:rsidR="005708F4" w:rsidRDefault="005708F4" w:rsidP="00F41EB5">
            <w:pPr>
              <w:rPr>
                <w:rFonts w:eastAsia="Calibri"/>
                <w:sz w:val="22"/>
                <w:szCs w:val="22"/>
                <w:lang w:eastAsia="en-US"/>
              </w:rPr>
            </w:pPr>
          </w:p>
        </w:tc>
        <w:tc>
          <w:tcPr>
            <w:tcW w:w="1080" w:type="pct"/>
            <w:vMerge/>
            <w:shd w:val="clear" w:color="auto" w:fill="auto"/>
          </w:tcPr>
          <w:p w14:paraId="45E9E7AE" w14:textId="77777777" w:rsidR="005708F4" w:rsidRPr="00F41EB5" w:rsidRDefault="005708F4" w:rsidP="007A1438">
            <w:pPr>
              <w:rPr>
                <w:rFonts w:eastAsia="Calibri"/>
                <w:sz w:val="22"/>
                <w:szCs w:val="22"/>
                <w:lang w:eastAsia="en-US"/>
              </w:rPr>
            </w:pPr>
          </w:p>
        </w:tc>
        <w:tc>
          <w:tcPr>
            <w:tcW w:w="1141" w:type="pct"/>
            <w:vMerge/>
            <w:shd w:val="clear" w:color="auto" w:fill="auto"/>
          </w:tcPr>
          <w:p w14:paraId="3969C95D"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2A5ED5BE" w14:textId="77777777" w:rsidR="005708F4" w:rsidRPr="00DE11FF" w:rsidRDefault="005708F4" w:rsidP="005708F4">
            <w:r>
              <w:t>Priešinės liaukos vėžio ankstyvosios diagnostikos programa</w:t>
            </w:r>
          </w:p>
        </w:tc>
        <w:tc>
          <w:tcPr>
            <w:tcW w:w="1005" w:type="pct"/>
            <w:shd w:val="clear" w:color="auto" w:fill="auto"/>
          </w:tcPr>
          <w:p w14:paraId="133AB584" w14:textId="3BCCFF77" w:rsidR="005708F4" w:rsidRPr="00DE11FF" w:rsidRDefault="005708F4" w:rsidP="00DE11FF">
            <w:pPr>
              <w:jc w:val="both"/>
            </w:pPr>
          </w:p>
        </w:tc>
        <w:tc>
          <w:tcPr>
            <w:tcW w:w="545" w:type="pct"/>
          </w:tcPr>
          <w:p w14:paraId="4E52341C" w14:textId="73CD5684" w:rsidR="005708F4" w:rsidRDefault="005708F4" w:rsidP="006B1B33">
            <w:pPr>
              <w:jc w:val="center"/>
            </w:pPr>
          </w:p>
        </w:tc>
      </w:tr>
      <w:tr w:rsidR="005708F4" w:rsidRPr="00F41EB5" w14:paraId="5D56C96A" w14:textId="77777777" w:rsidTr="00C51769">
        <w:trPr>
          <w:trHeight w:val="338"/>
        </w:trPr>
        <w:tc>
          <w:tcPr>
            <w:tcW w:w="199" w:type="pct"/>
            <w:vMerge/>
            <w:shd w:val="clear" w:color="auto" w:fill="auto"/>
          </w:tcPr>
          <w:p w14:paraId="768D4B60" w14:textId="77777777" w:rsidR="005708F4" w:rsidRDefault="005708F4" w:rsidP="00F41EB5">
            <w:pPr>
              <w:rPr>
                <w:rFonts w:eastAsia="Calibri"/>
                <w:sz w:val="22"/>
                <w:szCs w:val="22"/>
                <w:lang w:eastAsia="en-US"/>
              </w:rPr>
            </w:pPr>
          </w:p>
        </w:tc>
        <w:tc>
          <w:tcPr>
            <w:tcW w:w="1080" w:type="pct"/>
            <w:vMerge/>
            <w:shd w:val="clear" w:color="auto" w:fill="auto"/>
          </w:tcPr>
          <w:p w14:paraId="2591933E" w14:textId="77777777" w:rsidR="005708F4" w:rsidRPr="00F41EB5" w:rsidRDefault="005708F4" w:rsidP="007A1438">
            <w:pPr>
              <w:rPr>
                <w:rFonts w:eastAsia="Calibri"/>
                <w:sz w:val="22"/>
                <w:szCs w:val="22"/>
                <w:lang w:eastAsia="en-US"/>
              </w:rPr>
            </w:pPr>
          </w:p>
        </w:tc>
        <w:tc>
          <w:tcPr>
            <w:tcW w:w="1141" w:type="pct"/>
            <w:vMerge/>
            <w:shd w:val="clear" w:color="auto" w:fill="auto"/>
          </w:tcPr>
          <w:p w14:paraId="5CCA849E"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604E8C18" w14:textId="77777777" w:rsidR="005708F4" w:rsidRPr="00DE11FF" w:rsidRDefault="005708F4" w:rsidP="005708F4">
            <w:r>
              <w:t>Širdies ir kraujagyslių ligų atrankinės patikros ir prevencijos priemonių programa</w:t>
            </w:r>
          </w:p>
        </w:tc>
        <w:tc>
          <w:tcPr>
            <w:tcW w:w="1005" w:type="pct"/>
            <w:shd w:val="clear" w:color="auto" w:fill="auto"/>
          </w:tcPr>
          <w:p w14:paraId="406167BC" w14:textId="42714E9F" w:rsidR="005708F4" w:rsidRPr="00DE11FF" w:rsidRDefault="005708F4" w:rsidP="00DE11FF">
            <w:pPr>
              <w:jc w:val="both"/>
            </w:pPr>
          </w:p>
        </w:tc>
        <w:tc>
          <w:tcPr>
            <w:tcW w:w="545" w:type="pct"/>
          </w:tcPr>
          <w:p w14:paraId="73D56A2A" w14:textId="277D08A1" w:rsidR="005708F4" w:rsidRDefault="005708F4" w:rsidP="006B1B33">
            <w:pPr>
              <w:jc w:val="center"/>
            </w:pPr>
          </w:p>
        </w:tc>
      </w:tr>
      <w:tr w:rsidR="005708F4" w:rsidRPr="00F41EB5" w14:paraId="123CB865" w14:textId="77777777" w:rsidTr="00C51769">
        <w:trPr>
          <w:trHeight w:val="338"/>
        </w:trPr>
        <w:tc>
          <w:tcPr>
            <w:tcW w:w="199" w:type="pct"/>
            <w:vMerge/>
            <w:shd w:val="clear" w:color="auto" w:fill="auto"/>
          </w:tcPr>
          <w:p w14:paraId="6579C098" w14:textId="77777777" w:rsidR="005708F4" w:rsidRDefault="005708F4" w:rsidP="00F41EB5">
            <w:pPr>
              <w:rPr>
                <w:rFonts w:eastAsia="Calibri"/>
                <w:sz w:val="22"/>
                <w:szCs w:val="22"/>
                <w:lang w:eastAsia="en-US"/>
              </w:rPr>
            </w:pPr>
          </w:p>
        </w:tc>
        <w:tc>
          <w:tcPr>
            <w:tcW w:w="1080" w:type="pct"/>
            <w:vMerge/>
            <w:shd w:val="clear" w:color="auto" w:fill="auto"/>
          </w:tcPr>
          <w:p w14:paraId="0ADE864D" w14:textId="77777777" w:rsidR="005708F4" w:rsidRPr="00F41EB5" w:rsidRDefault="005708F4" w:rsidP="007A1438">
            <w:pPr>
              <w:rPr>
                <w:rFonts w:eastAsia="Calibri"/>
                <w:sz w:val="22"/>
                <w:szCs w:val="22"/>
                <w:lang w:eastAsia="en-US"/>
              </w:rPr>
            </w:pPr>
          </w:p>
        </w:tc>
        <w:tc>
          <w:tcPr>
            <w:tcW w:w="1141" w:type="pct"/>
            <w:vMerge/>
            <w:shd w:val="clear" w:color="auto" w:fill="auto"/>
          </w:tcPr>
          <w:p w14:paraId="15D2EDD9"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57FB684F" w14:textId="77777777" w:rsidR="005708F4" w:rsidRPr="00DE11FF" w:rsidRDefault="005708F4" w:rsidP="005708F4">
            <w:r>
              <w:t>Vaikų krūminių dantų ėduonies prevencijos priemonių programa</w:t>
            </w:r>
          </w:p>
        </w:tc>
        <w:tc>
          <w:tcPr>
            <w:tcW w:w="1005" w:type="pct"/>
            <w:shd w:val="clear" w:color="auto" w:fill="auto"/>
          </w:tcPr>
          <w:p w14:paraId="62DD8DAB" w14:textId="0FE2142A" w:rsidR="005708F4" w:rsidRPr="00DE11FF" w:rsidRDefault="005708F4" w:rsidP="00DE11FF">
            <w:pPr>
              <w:jc w:val="both"/>
            </w:pPr>
          </w:p>
        </w:tc>
        <w:tc>
          <w:tcPr>
            <w:tcW w:w="545" w:type="pct"/>
          </w:tcPr>
          <w:p w14:paraId="6890B355" w14:textId="02C0D9F0" w:rsidR="005708F4" w:rsidRDefault="005708F4" w:rsidP="006B1B33">
            <w:pPr>
              <w:jc w:val="center"/>
            </w:pPr>
          </w:p>
        </w:tc>
      </w:tr>
      <w:tr w:rsidR="005708F4" w:rsidRPr="00F41EB5" w14:paraId="65F19919" w14:textId="77777777" w:rsidTr="00C51769">
        <w:trPr>
          <w:trHeight w:val="607"/>
        </w:trPr>
        <w:tc>
          <w:tcPr>
            <w:tcW w:w="199" w:type="pct"/>
            <w:vMerge/>
            <w:shd w:val="clear" w:color="auto" w:fill="auto"/>
          </w:tcPr>
          <w:p w14:paraId="3E7ABF7A" w14:textId="77777777" w:rsidR="005708F4" w:rsidRDefault="005708F4" w:rsidP="00F41EB5">
            <w:pPr>
              <w:rPr>
                <w:rFonts w:eastAsia="Calibri"/>
                <w:sz w:val="22"/>
                <w:szCs w:val="22"/>
                <w:lang w:eastAsia="en-US"/>
              </w:rPr>
            </w:pPr>
          </w:p>
        </w:tc>
        <w:tc>
          <w:tcPr>
            <w:tcW w:w="1080" w:type="pct"/>
            <w:vMerge/>
            <w:shd w:val="clear" w:color="auto" w:fill="auto"/>
          </w:tcPr>
          <w:p w14:paraId="06107B6C" w14:textId="77777777" w:rsidR="005708F4" w:rsidRPr="00F41EB5" w:rsidRDefault="005708F4" w:rsidP="007A1438">
            <w:pPr>
              <w:rPr>
                <w:rFonts w:eastAsia="Calibri"/>
                <w:sz w:val="22"/>
                <w:szCs w:val="22"/>
                <w:lang w:eastAsia="en-US"/>
              </w:rPr>
            </w:pPr>
          </w:p>
        </w:tc>
        <w:tc>
          <w:tcPr>
            <w:tcW w:w="1141" w:type="pct"/>
            <w:vMerge/>
            <w:shd w:val="clear" w:color="auto" w:fill="auto"/>
          </w:tcPr>
          <w:p w14:paraId="415B9861"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71F19947" w14:textId="77777777" w:rsidR="005708F4" w:rsidRDefault="005708F4" w:rsidP="005708F4">
            <w:r>
              <w:t>Vaikų profilaktiniai patikrinimai</w:t>
            </w:r>
          </w:p>
          <w:p w14:paraId="5C92230A" w14:textId="77777777" w:rsidR="00F77DE7" w:rsidRPr="00DE11FF" w:rsidRDefault="00F77DE7" w:rsidP="005708F4"/>
        </w:tc>
        <w:tc>
          <w:tcPr>
            <w:tcW w:w="1005" w:type="pct"/>
            <w:shd w:val="clear" w:color="auto" w:fill="auto"/>
          </w:tcPr>
          <w:p w14:paraId="6D572659" w14:textId="6F2C4009" w:rsidR="005708F4" w:rsidRPr="00DE11FF" w:rsidRDefault="005708F4" w:rsidP="00DE11FF">
            <w:pPr>
              <w:jc w:val="both"/>
            </w:pPr>
          </w:p>
        </w:tc>
        <w:tc>
          <w:tcPr>
            <w:tcW w:w="545" w:type="pct"/>
          </w:tcPr>
          <w:p w14:paraId="43671DDE" w14:textId="3B7590AC" w:rsidR="005708F4" w:rsidRDefault="005708F4" w:rsidP="006B1B33">
            <w:pPr>
              <w:jc w:val="center"/>
            </w:pPr>
          </w:p>
        </w:tc>
      </w:tr>
      <w:tr w:rsidR="005708F4" w:rsidRPr="00F41EB5" w14:paraId="02E0047B" w14:textId="77777777" w:rsidTr="00C51769">
        <w:tc>
          <w:tcPr>
            <w:tcW w:w="199" w:type="pct"/>
            <w:shd w:val="clear" w:color="auto" w:fill="auto"/>
          </w:tcPr>
          <w:p w14:paraId="008B50EB" w14:textId="77777777" w:rsidR="00363AB6" w:rsidRDefault="00363AB6" w:rsidP="00F41EB5">
            <w:pPr>
              <w:rPr>
                <w:rFonts w:eastAsia="Calibri"/>
                <w:sz w:val="22"/>
                <w:szCs w:val="22"/>
                <w:lang w:eastAsia="en-US"/>
              </w:rPr>
            </w:pPr>
          </w:p>
          <w:p w14:paraId="7BABEC02" w14:textId="77777777" w:rsidR="005708F4" w:rsidRDefault="005708F4" w:rsidP="00F41EB5">
            <w:pPr>
              <w:rPr>
                <w:rFonts w:eastAsia="Calibri"/>
                <w:sz w:val="22"/>
                <w:szCs w:val="22"/>
                <w:lang w:eastAsia="en-US"/>
              </w:rPr>
            </w:pPr>
            <w:r>
              <w:rPr>
                <w:rFonts w:eastAsia="Calibri"/>
                <w:sz w:val="22"/>
                <w:szCs w:val="22"/>
                <w:lang w:eastAsia="en-US"/>
              </w:rPr>
              <w:t>7.</w:t>
            </w:r>
          </w:p>
        </w:tc>
        <w:tc>
          <w:tcPr>
            <w:tcW w:w="1080" w:type="pct"/>
            <w:shd w:val="clear" w:color="auto" w:fill="auto"/>
          </w:tcPr>
          <w:p w14:paraId="0D8A021D" w14:textId="77777777" w:rsidR="00363AB6" w:rsidRDefault="00363AB6" w:rsidP="00DE11FF"/>
          <w:p w14:paraId="027FDB72" w14:textId="77777777" w:rsidR="005708F4" w:rsidRDefault="005708F4" w:rsidP="00DE11FF">
            <w:r w:rsidRPr="00DE11FF">
              <w:t>Vidutinis laikas nuo paciento kreipimosi į įstaigą dėl asmens sveikatos priežiūros paslaugos suteikimo momento iki paskirto paslaugos gavimo laiko pagal sveikatos apsaugos ministro nustatytas paslaugų grupes</w:t>
            </w:r>
          </w:p>
          <w:p w14:paraId="7E124DC5" w14:textId="77777777" w:rsidR="005708F4" w:rsidRPr="00DE11FF" w:rsidRDefault="005708F4" w:rsidP="00DE11FF">
            <w:pPr>
              <w:rPr>
                <w:rFonts w:eastAsia="Calibri"/>
                <w:sz w:val="22"/>
                <w:szCs w:val="22"/>
                <w:lang w:eastAsia="en-US"/>
              </w:rPr>
            </w:pPr>
          </w:p>
        </w:tc>
        <w:tc>
          <w:tcPr>
            <w:tcW w:w="1141" w:type="pct"/>
            <w:shd w:val="clear" w:color="auto" w:fill="auto"/>
          </w:tcPr>
          <w:p w14:paraId="1F3E88F7" w14:textId="77777777" w:rsidR="00363AB6" w:rsidRDefault="00363AB6" w:rsidP="00F41EB5">
            <w:pPr>
              <w:jc w:val="both"/>
              <w:rPr>
                <w:rFonts w:eastAsia="Calibri"/>
                <w:sz w:val="22"/>
                <w:szCs w:val="22"/>
                <w:lang w:eastAsia="en-US"/>
              </w:rPr>
            </w:pPr>
          </w:p>
          <w:p w14:paraId="3D1922A7" w14:textId="77777777" w:rsidR="005708F4" w:rsidRPr="00F41EB5" w:rsidRDefault="005708F4" w:rsidP="00F41EB5">
            <w:pPr>
              <w:jc w:val="both"/>
              <w:rPr>
                <w:rFonts w:eastAsia="Calibri"/>
                <w:color w:val="000000"/>
                <w:sz w:val="22"/>
                <w:szCs w:val="22"/>
                <w:lang w:eastAsia="en-GB"/>
              </w:rPr>
            </w:pPr>
            <w:r w:rsidRPr="00DE11FF">
              <w:rPr>
                <w:rFonts w:eastAsia="Calibri"/>
                <w:sz w:val="22"/>
                <w:szCs w:val="22"/>
                <w:lang w:eastAsia="en-US"/>
              </w:rPr>
              <w:t>Nenustatoma, tik stebima</w:t>
            </w:r>
          </w:p>
        </w:tc>
        <w:tc>
          <w:tcPr>
            <w:tcW w:w="2035" w:type="pct"/>
            <w:gridSpan w:val="2"/>
            <w:shd w:val="clear" w:color="auto" w:fill="auto"/>
          </w:tcPr>
          <w:p w14:paraId="08533FFB" w14:textId="77777777" w:rsidR="00363AB6" w:rsidRDefault="00363AB6" w:rsidP="005708F4">
            <w:pPr>
              <w:rPr>
                <w:rFonts w:eastAsia="Calibri"/>
                <w:bCs/>
                <w:lang w:eastAsia="en-US"/>
              </w:rPr>
            </w:pPr>
          </w:p>
          <w:p w14:paraId="79755F2D" w14:textId="0FA17CA1" w:rsidR="005708F4" w:rsidRPr="00CB7CF8" w:rsidRDefault="005708F4" w:rsidP="005708F4">
            <w:pPr>
              <w:rPr>
                <w:rFonts w:eastAsia="Calibri"/>
                <w:bCs/>
                <w:lang w:eastAsia="en-US"/>
              </w:rPr>
            </w:pPr>
          </w:p>
        </w:tc>
        <w:tc>
          <w:tcPr>
            <w:tcW w:w="545" w:type="pct"/>
          </w:tcPr>
          <w:p w14:paraId="42D86679" w14:textId="283BF114" w:rsidR="005708F4" w:rsidRPr="00CB7CF8" w:rsidRDefault="005708F4" w:rsidP="006B1B33">
            <w:pPr>
              <w:jc w:val="center"/>
              <w:rPr>
                <w:rFonts w:eastAsia="Calibri"/>
                <w:bCs/>
                <w:lang w:eastAsia="en-US"/>
              </w:rPr>
            </w:pPr>
          </w:p>
        </w:tc>
      </w:tr>
      <w:tr w:rsidR="005708F4" w:rsidRPr="00F41EB5" w14:paraId="6F9AB9FC" w14:textId="77777777" w:rsidTr="00C51769">
        <w:tc>
          <w:tcPr>
            <w:tcW w:w="199" w:type="pct"/>
            <w:shd w:val="clear" w:color="auto" w:fill="auto"/>
          </w:tcPr>
          <w:p w14:paraId="671891F6" w14:textId="77777777" w:rsidR="005708F4" w:rsidRDefault="005708F4" w:rsidP="00F41EB5">
            <w:pPr>
              <w:rPr>
                <w:rFonts w:eastAsia="Calibri"/>
                <w:sz w:val="22"/>
                <w:szCs w:val="22"/>
                <w:lang w:eastAsia="en-US"/>
              </w:rPr>
            </w:pPr>
          </w:p>
          <w:p w14:paraId="34A47BD0" w14:textId="77777777" w:rsidR="005708F4" w:rsidRDefault="005708F4" w:rsidP="00F41EB5">
            <w:pPr>
              <w:rPr>
                <w:rFonts w:eastAsia="Calibri"/>
                <w:sz w:val="22"/>
                <w:szCs w:val="22"/>
                <w:lang w:eastAsia="en-US"/>
              </w:rPr>
            </w:pPr>
            <w:r>
              <w:rPr>
                <w:rFonts w:eastAsia="Calibri"/>
                <w:sz w:val="22"/>
                <w:szCs w:val="22"/>
                <w:lang w:eastAsia="en-US"/>
              </w:rPr>
              <w:t>8.</w:t>
            </w:r>
          </w:p>
        </w:tc>
        <w:tc>
          <w:tcPr>
            <w:tcW w:w="1080" w:type="pct"/>
            <w:shd w:val="clear" w:color="auto" w:fill="auto"/>
          </w:tcPr>
          <w:p w14:paraId="252EA531" w14:textId="77777777" w:rsidR="005708F4" w:rsidRDefault="005708F4" w:rsidP="00DE11FF"/>
          <w:p w14:paraId="09841F59" w14:textId="77777777" w:rsidR="005708F4" w:rsidRDefault="005708F4" w:rsidP="00DE11FF">
            <w:r w:rsidRPr="00DE11FF">
              <w:t>Įstaigoje dirbančių darbuotojų ir etatų skaičius ir įstaigoje suteiktų asmens sveikatos priežiūros paslaugų skaičius per metus</w:t>
            </w:r>
          </w:p>
          <w:p w14:paraId="2CB344F1" w14:textId="77777777" w:rsidR="005708F4" w:rsidRDefault="005708F4" w:rsidP="00DE11FF">
            <w:pPr>
              <w:rPr>
                <w:rFonts w:eastAsia="Calibri"/>
                <w:sz w:val="22"/>
                <w:szCs w:val="22"/>
                <w:lang w:eastAsia="en-US"/>
              </w:rPr>
            </w:pPr>
          </w:p>
          <w:p w14:paraId="7468A073" w14:textId="77777777" w:rsidR="005708F4" w:rsidRDefault="005708F4" w:rsidP="00DE11FF">
            <w:pPr>
              <w:rPr>
                <w:rFonts w:eastAsia="Calibri"/>
                <w:sz w:val="22"/>
                <w:szCs w:val="22"/>
                <w:lang w:eastAsia="en-US"/>
              </w:rPr>
            </w:pPr>
          </w:p>
          <w:p w14:paraId="6CE03FE1" w14:textId="77777777" w:rsidR="005708F4" w:rsidRDefault="005708F4" w:rsidP="00DE11FF">
            <w:pPr>
              <w:rPr>
                <w:rFonts w:eastAsia="Calibri"/>
                <w:sz w:val="22"/>
                <w:szCs w:val="22"/>
                <w:lang w:eastAsia="en-US"/>
              </w:rPr>
            </w:pPr>
          </w:p>
          <w:p w14:paraId="71FF8E5A" w14:textId="77777777" w:rsidR="005708F4" w:rsidRPr="00DE11FF" w:rsidRDefault="005708F4" w:rsidP="00DE11FF">
            <w:pPr>
              <w:rPr>
                <w:rFonts w:eastAsia="Calibri"/>
                <w:sz w:val="22"/>
                <w:szCs w:val="22"/>
                <w:lang w:eastAsia="en-US"/>
              </w:rPr>
            </w:pPr>
          </w:p>
        </w:tc>
        <w:tc>
          <w:tcPr>
            <w:tcW w:w="1141" w:type="pct"/>
            <w:shd w:val="clear" w:color="auto" w:fill="auto"/>
          </w:tcPr>
          <w:p w14:paraId="7404F705" w14:textId="77777777" w:rsidR="005708F4" w:rsidRDefault="005708F4" w:rsidP="00F41EB5">
            <w:pPr>
              <w:jc w:val="both"/>
              <w:rPr>
                <w:rFonts w:eastAsia="Calibri"/>
                <w:sz w:val="22"/>
                <w:szCs w:val="22"/>
                <w:lang w:eastAsia="en-US"/>
              </w:rPr>
            </w:pPr>
          </w:p>
          <w:p w14:paraId="7D858368" w14:textId="77777777" w:rsidR="005708F4" w:rsidRPr="00F41EB5" w:rsidRDefault="005708F4" w:rsidP="00F41EB5">
            <w:pPr>
              <w:jc w:val="both"/>
              <w:rPr>
                <w:rFonts w:eastAsia="Calibri"/>
                <w:color w:val="000000"/>
                <w:sz w:val="22"/>
                <w:szCs w:val="22"/>
                <w:lang w:eastAsia="en-GB"/>
              </w:rPr>
            </w:pPr>
            <w:r w:rsidRPr="00DE11FF">
              <w:rPr>
                <w:rFonts w:eastAsia="Calibri"/>
                <w:sz w:val="22"/>
                <w:szCs w:val="22"/>
                <w:lang w:eastAsia="en-US"/>
              </w:rPr>
              <w:t>Nenustatoma, tik stebima</w:t>
            </w:r>
          </w:p>
        </w:tc>
        <w:tc>
          <w:tcPr>
            <w:tcW w:w="2035" w:type="pct"/>
            <w:gridSpan w:val="2"/>
            <w:shd w:val="clear" w:color="auto" w:fill="auto"/>
          </w:tcPr>
          <w:p w14:paraId="50C1C960" w14:textId="77777777" w:rsidR="005708F4" w:rsidRPr="00F41EB5" w:rsidRDefault="005708F4" w:rsidP="005708F4">
            <w:pPr>
              <w:rPr>
                <w:rFonts w:eastAsia="Calibri"/>
                <w:bCs/>
                <w:sz w:val="22"/>
                <w:szCs w:val="22"/>
                <w:lang w:eastAsia="en-US"/>
              </w:rPr>
            </w:pPr>
          </w:p>
        </w:tc>
        <w:tc>
          <w:tcPr>
            <w:tcW w:w="545" w:type="pct"/>
          </w:tcPr>
          <w:p w14:paraId="35574264" w14:textId="1E9C4789" w:rsidR="005708F4" w:rsidRDefault="005708F4" w:rsidP="006B1B33">
            <w:pPr>
              <w:spacing w:line="360" w:lineRule="auto"/>
              <w:jc w:val="center"/>
            </w:pPr>
          </w:p>
        </w:tc>
      </w:tr>
      <w:tr w:rsidR="005708F4" w:rsidRPr="00F41EB5" w14:paraId="192384EA" w14:textId="77777777" w:rsidTr="005708F4">
        <w:tc>
          <w:tcPr>
            <w:tcW w:w="4455" w:type="pct"/>
            <w:gridSpan w:val="5"/>
            <w:shd w:val="clear" w:color="auto" w:fill="auto"/>
          </w:tcPr>
          <w:p w14:paraId="1DDDF993" w14:textId="77777777" w:rsidR="005708F4" w:rsidRDefault="005708F4" w:rsidP="00F41EB5">
            <w:pPr>
              <w:rPr>
                <w:rFonts w:eastAsia="Calibri"/>
                <w:sz w:val="22"/>
                <w:szCs w:val="22"/>
                <w:lang w:eastAsia="en-US"/>
              </w:rPr>
            </w:pPr>
          </w:p>
          <w:p w14:paraId="67BC4E26" w14:textId="77777777" w:rsidR="005708F4" w:rsidRPr="00DE11FF" w:rsidRDefault="005708F4" w:rsidP="00DE11FF">
            <w:pPr>
              <w:pStyle w:val="Sraopastraipa"/>
              <w:numPr>
                <w:ilvl w:val="0"/>
                <w:numId w:val="5"/>
              </w:numPr>
              <w:ind w:left="284"/>
              <w:rPr>
                <w:rFonts w:eastAsia="Calibri"/>
                <w:b/>
                <w:bCs/>
                <w:lang w:eastAsia="en-US"/>
              </w:rPr>
            </w:pPr>
            <w:r w:rsidRPr="00DE11FF">
              <w:rPr>
                <w:rFonts w:eastAsia="Calibri"/>
                <w:b/>
                <w:bCs/>
                <w:lang w:eastAsia="en-US"/>
              </w:rPr>
              <w:t>Papildomi veiklos rezultatų vertinimo rodikliai:</w:t>
            </w:r>
          </w:p>
          <w:p w14:paraId="3E0EE82A" w14:textId="77777777" w:rsidR="005708F4" w:rsidRPr="00F41EB5" w:rsidRDefault="005708F4" w:rsidP="00DE11FF">
            <w:pPr>
              <w:jc w:val="both"/>
              <w:rPr>
                <w:rFonts w:eastAsia="Calibri"/>
                <w:bCs/>
                <w:sz w:val="22"/>
                <w:szCs w:val="22"/>
                <w:lang w:eastAsia="en-US"/>
              </w:rPr>
            </w:pPr>
          </w:p>
        </w:tc>
        <w:tc>
          <w:tcPr>
            <w:tcW w:w="545" w:type="pct"/>
          </w:tcPr>
          <w:p w14:paraId="5CED5D5C" w14:textId="77777777" w:rsidR="005708F4" w:rsidRDefault="005708F4" w:rsidP="00F41EB5">
            <w:pPr>
              <w:rPr>
                <w:rFonts w:eastAsia="Calibri"/>
                <w:sz w:val="22"/>
                <w:szCs w:val="22"/>
                <w:lang w:eastAsia="en-US"/>
              </w:rPr>
            </w:pPr>
          </w:p>
        </w:tc>
      </w:tr>
      <w:tr w:rsidR="005708F4" w:rsidRPr="00F41EB5" w14:paraId="5DCAD8FF" w14:textId="77777777" w:rsidTr="00C51769">
        <w:tc>
          <w:tcPr>
            <w:tcW w:w="199" w:type="pct"/>
            <w:shd w:val="clear" w:color="auto" w:fill="auto"/>
          </w:tcPr>
          <w:p w14:paraId="02AECD78" w14:textId="77777777" w:rsidR="005708F4" w:rsidRPr="00F41EB5" w:rsidRDefault="005708F4" w:rsidP="00F41EB5">
            <w:pPr>
              <w:rPr>
                <w:rFonts w:eastAsia="Calibri"/>
                <w:sz w:val="22"/>
                <w:szCs w:val="22"/>
                <w:lang w:eastAsia="en-US"/>
              </w:rPr>
            </w:pPr>
            <w:r>
              <w:rPr>
                <w:rFonts w:eastAsia="Calibri"/>
                <w:sz w:val="22"/>
                <w:szCs w:val="22"/>
                <w:lang w:eastAsia="en-US"/>
              </w:rPr>
              <w:t>1.</w:t>
            </w:r>
          </w:p>
        </w:tc>
        <w:tc>
          <w:tcPr>
            <w:tcW w:w="1080" w:type="pct"/>
            <w:shd w:val="clear" w:color="auto" w:fill="auto"/>
          </w:tcPr>
          <w:p w14:paraId="070D1A83" w14:textId="77777777" w:rsidR="005708F4" w:rsidRPr="00F77DE7" w:rsidRDefault="005708F4" w:rsidP="00F77DE7">
            <w:pPr>
              <w:rPr>
                <w:rFonts w:eastAsia="Calibri"/>
                <w:color w:val="000000"/>
                <w:sz w:val="22"/>
                <w:szCs w:val="22"/>
                <w:lang w:eastAsia="en-US"/>
              </w:rPr>
            </w:pPr>
            <w:r w:rsidRPr="00F77DE7">
              <w:t>Absoliutaus likvidumo rodiklis</w:t>
            </w:r>
          </w:p>
        </w:tc>
        <w:tc>
          <w:tcPr>
            <w:tcW w:w="1141" w:type="pct"/>
            <w:shd w:val="clear" w:color="auto" w:fill="auto"/>
          </w:tcPr>
          <w:p w14:paraId="1CBEC3A0" w14:textId="77777777" w:rsidR="005708F4" w:rsidRPr="00F41EB5" w:rsidRDefault="005708F4" w:rsidP="00F41EB5">
            <w:pPr>
              <w:jc w:val="both"/>
              <w:rPr>
                <w:rFonts w:eastAsia="Calibri"/>
                <w:sz w:val="22"/>
                <w:szCs w:val="22"/>
                <w:lang w:eastAsia="en-US"/>
              </w:rPr>
            </w:pPr>
            <w:r w:rsidRPr="006B1CE7">
              <w:t>Nuo 0,5 iki 1</w:t>
            </w:r>
          </w:p>
        </w:tc>
        <w:tc>
          <w:tcPr>
            <w:tcW w:w="2035" w:type="pct"/>
            <w:gridSpan w:val="2"/>
            <w:shd w:val="clear" w:color="auto" w:fill="auto"/>
            <w:vAlign w:val="center"/>
          </w:tcPr>
          <w:p w14:paraId="4E107B93" w14:textId="77777777" w:rsidR="005708F4" w:rsidRPr="007A1438" w:rsidRDefault="005708F4" w:rsidP="005708F4">
            <w:pPr>
              <w:rPr>
                <w:rFonts w:eastAsia="Calibri"/>
                <w:sz w:val="22"/>
                <w:szCs w:val="22"/>
                <w:lang w:eastAsia="en-US"/>
              </w:rPr>
            </w:pPr>
          </w:p>
        </w:tc>
        <w:tc>
          <w:tcPr>
            <w:tcW w:w="545" w:type="pct"/>
            <w:vAlign w:val="center"/>
          </w:tcPr>
          <w:p w14:paraId="696188D2" w14:textId="6C71203E" w:rsidR="005708F4" w:rsidRDefault="005708F4" w:rsidP="005708F4">
            <w:pPr>
              <w:jc w:val="center"/>
            </w:pPr>
          </w:p>
        </w:tc>
      </w:tr>
      <w:tr w:rsidR="005708F4" w:rsidRPr="00F41EB5" w14:paraId="2064451B" w14:textId="77777777" w:rsidTr="00C51769">
        <w:trPr>
          <w:trHeight w:val="889"/>
        </w:trPr>
        <w:tc>
          <w:tcPr>
            <w:tcW w:w="199" w:type="pct"/>
            <w:shd w:val="clear" w:color="auto" w:fill="auto"/>
          </w:tcPr>
          <w:p w14:paraId="49F3A061" w14:textId="77777777" w:rsidR="005708F4" w:rsidRPr="00F41EB5" w:rsidRDefault="005708F4" w:rsidP="00F41EB5">
            <w:pPr>
              <w:rPr>
                <w:rFonts w:eastAsia="Calibri"/>
                <w:sz w:val="22"/>
                <w:szCs w:val="22"/>
                <w:lang w:eastAsia="en-US"/>
              </w:rPr>
            </w:pPr>
            <w:r>
              <w:rPr>
                <w:rFonts w:eastAsia="Calibri"/>
                <w:sz w:val="22"/>
                <w:szCs w:val="22"/>
                <w:lang w:eastAsia="en-US"/>
              </w:rPr>
              <w:t>2.</w:t>
            </w:r>
          </w:p>
        </w:tc>
        <w:tc>
          <w:tcPr>
            <w:tcW w:w="1080" w:type="pct"/>
            <w:shd w:val="clear" w:color="auto" w:fill="auto"/>
          </w:tcPr>
          <w:p w14:paraId="225C78BD" w14:textId="77777777" w:rsidR="005708F4" w:rsidRPr="00F77DE7" w:rsidRDefault="005708F4" w:rsidP="00F77DE7">
            <w:pPr>
              <w:rPr>
                <w:color w:val="FFFF00"/>
              </w:rPr>
            </w:pPr>
            <w:r w:rsidRPr="00F77DE7">
              <w:t>Konsoliduotų viešųjų pirkimų skaičius</w:t>
            </w:r>
          </w:p>
        </w:tc>
        <w:tc>
          <w:tcPr>
            <w:tcW w:w="1141" w:type="pct"/>
            <w:shd w:val="clear" w:color="auto" w:fill="auto"/>
          </w:tcPr>
          <w:p w14:paraId="5090B9C9" w14:textId="77777777" w:rsidR="005708F4" w:rsidRPr="00F41EB5" w:rsidRDefault="005708F4" w:rsidP="00826DD6">
            <w:pPr>
              <w:rPr>
                <w:rFonts w:eastAsia="Calibri"/>
                <w:sz w:val="22"/>
                <w:szCs w:val="22"/>
                <w:lang w:eastAsia="en-US"/>
              </w:rPr>
            </w:pPr>
            <w:r w:rsidRPr="006B1CE7">
              <w:rPr>
                <w:color w:val="000000"/>
              </w:rPr>
              <w:t>Ne mažiau kaip 1</w:t>
            </w:r>
          </w:p>
        </w:tc>
        <w:tc>
          <w:tcPr>
            <w:tcW w:w="2035" w:type="pct"/>
            <w:gridSpan w:val="2"/>
            <w:shd w:val="clear" w:color="auto" w:fill="auto"/>
            <w:vAlign w:val="center"/>
          </w:tcPr>
          <w:p w14:paraId="5B3426AA" w14:textId="4136DA92" w:rsidR="005708F4" w:rsidRPr="007A1438" w:rsidRDefault="005708F4" w:rsidP="005708F4"/>
        </w:tc>
        <w:tc>
          <w:tcPr>
            <w:tcW w:w="545" w:type="pct"/>
            <w:vAlign w:val="center"/>
          </w:tcPr>
          <w:p w14:paraId="7ABC2F01" w14:textId="4AEEE3AF" w:rsidR="005708F4" w:rsidRDefault="005708F4" w:rsidP="005708F4">
            <w:pPr>
              <w:jc w:val="center"/>
              <w:rPr>
                <w:bCs/>
              </w:rPr>
            </w:pPr>
          </w:p>
        </w:tc>
      </w:tr>
      <w:tr w:rsidR="005708F4" w:rsidRPr="00F41EB5" w14:paraId="707F1F56" w14:textId="77777777" w:rsidTr="00C51769">
        <w:tc>
          <w:tcPr>
            <w:tcW w:w="199" w:type="pct"/>
            <w:shd w:val="clear" w:color="auto" w:fill="auto"/>
          </w:tcPr>
          <w:p w14:paraId="41BBED82" w14:textId="77777777" w:rsidR="005708F4" w:rsidRPr="00F41EB5" w:rsidRDefault="005708F4" w:rsidP="00F41EB5">
            <w:pPr>
              <w:rPr>
                <w:rFonts w:eastAsia="Calibri"/>
                <w:sz w:val="22"/>
                <w:szCs w:val="22"/>
                <w:lang w:eastAsia="en-US"/>
              </w:rPr>
            </w:pPr>
            <w:r>
              <w:rPr>
                <w:rFonts w:eastAsia="Calibri"/>
                <w:sz w:val="22"/>
                <w:szCs w:val="22"/>
                <w:lang w:eastAsia="en-US"/>
              </w:rPr>
              <w:t>3.</w:t>
            </w:r>
          </w:p>
        </w:tc>
        <w:tc>
          <w:tcPr>
            <w:tcW w:w="1080" w:type="pct"/>
            <w:shd w:val="clear" w:color="auto" w:fill="auto"/>
          </w:tcPr>
          <w:p w14:paraId="61935FC1" w14:textId="77777777" w:rsidR="005708F4" w:rsidRPr="00F77DE7" w:rsidRDefault="005708F4" w:rsidP="00F77DE7">
            <w:pPr>
              <w:rPr>
                <w:rFonts w:eastAsia="Calibri"/>
                <w:color w:val="000000"/>
                <w:sz w:val="22"/>
                <w:szCs w:val="22"/>
                <w:lang w:eastAsia="en-US"/>
              </w:rPr>
            </w:pPr>
            <w:r w:rsidRPr="00F77DE7">
              <w:t>Vaistų, kurie įsigyti per VšĮ Centrinės perkančiosios organizacijos (toliau – VšĮ CPO LT) elektroninį katalogą, vertės dalis nuo bendros vaistų, kuriuos galima įsigyti per VšĮ CPO LT elektroninį katalogą, vertės</w:t>
            </w:r>
          </w:p>
        </w:tc>
        <w:tc>
          <w:tcPr>
            <w:tcW w:w="1141" w:type="pct"/>
            <w:shd w:val="clear" w:color="auto" w:fill="auto"/>
          </w:tcPr>
          <w:p w14:paraId="6DCD4C8C" w14:textId="77777777" w:rsidR="005708F4" w:rsidRPr="00F41EB5" w:rsidRDefault="005708F4" w:rsidP="00826DD6">
            <w:pPr>
              <w:rPr>
                <w:rFonts w:eastAsia="Calibri"/>
                <w:sz w:val="22"/>
                <w:szCs w:val="22"/>
                <w:lang w:eastAsia="en-US"/>
              </w:rPr>
            </w:pPr>
            <w:r w:rsidRPr="006B1CE7">
              <w:t>Ne mažiau kaip 80 proc.</w:t>
            </w:r>
          </w:p>
        </w:tc>
        <w:tc>
          <w:tcPr>
            <w:tcW w:w="2035" w:type="pct"/>
            <w:gridSpan w:val="2"/>
            <w:shd w:val="clear" w:color="auto" w:fill="auto"/>
            <w:vAlign w:val="center"/>
          </w:tcPr>
          <w:p w14:paraId="7A1ED35A" w14:textId="2C67D90B" w:rsidR="005708F4" w:rsidRPr="007A1438" w:rsidRDefault="005708F4" w:rsidP="005708F4">
            <w:pPr>
              <w:rPr>
                <w:rFonts w:eastAsia="Calibri"/>
                <w:sz w:val="22"/>
                <w:szCs w:val="22"/>
                <w:lang w:eastAsia="en-US"/>
              </w:rPr>
            </w:pPr>
          </w:p>
        </w:tc>
        <w:tc>
          <w:tcPr>
            <w:tcW w:w="545" w:type="pct"/>
            <w:vAlign w:val="center"/>
          </w:tcPr>
          <w:p w14:paraId="0B9F11EB" w14:textId="49A17F79" w:rsidR="005708F4" w:rsidRPr="007A1438" w:rsidRDefault="005708F4" w:rsidP="005708F4">
            <w:pPr>
              <w:jc w:val="center"/>
            </w:pPr>
          </w:p>
        </w:tc>
      </w:tr>
    </w:tbl>
    <w:p w14:paraId="57E22492" w14:textId="77777777" w:rsidR="00F41EB5" w:rsidRDefault="00F41EB5" w:rsidP="00F41EB5">
      <w:pPr>
        <w:autoSpaceDE w:val="0"/>
        <w:autoSpaceDN w:val="0"/>
        <w:adjustRightInd w:val="0"/>
        <w:rPr>
          <w:rFonts w:eastAsia="Calibri"/>
          <w:color w:val="000000"/>
          <w:sz w:val="22"/>
          <w:szCs w:val="22"/>
          <w:lang w:eastAsia="en-US"/>
        </w:rPr>
      </w:pPr>
    </w:p>
    <w:p w14:paraId="19A1D879" w14:textId="77777777" w:rsidR="00826DD6" w:rsidRDefault="00826DD6" w:rsidP="00F41EB5">
      <w:pPr>
        <w:autoSpaceDE w:val="0"/>
        <w:autoSpaceDN w:val="0"/>
        <w:adjustRightInd w:val="0"/>
        <w:rPr>
          <w:rFonts w:eastAsia="Calibri"/>
          <w:color w:val="000000"/>
          <w:sz w:val="22"/>
          <w:szCs w:val="22"/>
          <w:lang w:eastAsia="en-US"/>
        </w:rPr>
      </w:pPr>
    </w:p>
    <w:p w14:paraId="70FA4EDB" w14:textId="77777777" w:rsidR="00127DAB" w:rsidRDefault="00127DAB" w:rsidP="00F41EB5">
      <w:pPr>
        <w:autoSpaceDE w:val="0"/>
        <w:autoSpaceDN w:val="0"/>
        <w:adjustRightInd w:val="0"/>
        <w:rPr>
          <w:rFonts w:eastAsia="Calibri"/>
          <w:color w:val="000000"/>
          <w:sz w:val="22"/>
          <w:szCs w:val="22"/>
          <w:lang w:eastAsia="en-US"/>
        </w:rPr>
      </w:pPr>
    </w:p>
    <w:p w14:paraId="4DB00A8A" w14:textId="77777777" w:rsidR="00127DAB" w:rsidRDefault="00127DAB" w:rsidP="00F41EB5">
      <w:pPr>
        <w:autoSpaceDE w:val="0"/>
        <w:autoSpaceDN w:val="0"/>
        <w:adjustRightInd w:val="0"/>
        <w:rPr>
          <w:rFonts w:eastAsia="Calibri"/>
          <w:color w:val="000000"/>
          <w:sz w:val="22"/>
          <w:szCs w:val="22"/>
          <w:lang w:eastAsia="en-US"/>
        </w:rPr>
      </w:pPr>
    </w:p>
    <w:p w14:paraId="75912805" w14:textId="1416F096" w:rsidR="00AB1DEB" w:rsidRPr="00F41EB5" w:rsidRDefault="00127DAB" w:rsidP="00644A9A">
      <w:pPr>
        <w:tabs>
          <w:tab w:val="left" w:pos="1296"/>
          <w:tab w:val="left" w:pos="2592"/>
          <w:tab w:val="left" w:pos="3888"/>
          <w:tab w:val="left" w:pos="5184"/>
          <w:tab w:val="left" w:pos="6480"/>
          <w:tab w:val="left" w:pos="879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006839DA">
        <w:rPr>
          <w:rFonts w:eastAsia="Calibri"/>
          <w:color w:val="000000"/>
          <w:sz w:val="22"/>
          <w:szCs w:val="22"/>
          <w:lang w:eastAsia="en-US"/>
        </w:rPr>
        <w:t>V</w:t>
      </w:r>
      <w:r w:rsidR="00AB1DEB">
        <w:rPr>
          <w:rFonts w:eastAsia="Calibri"/>
          <w:color w:val="000000"/>
          <w:sz w:val="22"/>
          <w:szCs w:val="22"/>
          <w:lang w:eastAsia="en-US"/>
        </w:rPr>
        <w:t>yr</w:t>
      </w:r>
      <w:r w:rsidR="006839DA">
        <w:rPr>
          <w:rFonts w:eastAsia="Calibri"/>
          <w:color w:val="000000"/>
          <w:sz w:val="22"/>
          <w:szCs w:val="22"/>
          <w:lang w:eastAsia="en-US"/>
        </w:rPr>
        <w:t>.</w:t>
      </w:r>
      <w:r w:rsidR="00AB1DEB">
        <w:rPr>
          <w:rFonts w:eastAsia="Calibri"/>
          <w:color w:val="000000"/>
          <w:sz w:val="22"/>
          <w:szCs w:val="22"/>
          <w:lang w:eastAsia="en-US"/>
        </w:rPr>
        <w:t xml:space="preserve"> gydytoj</w:t>
      </w:r>
      <w:r w:rsidR="006839DA">
        <w:rPr>
          <w:rFonts w:eastAsia="Calibri"/>
          <w:color w:val="000000"/>
          <w:sz w:val="22"/>
          <w:szCs w:val="22"/>
          <w:lang w:eastAsia="en-US"/>
        </w:rPr>
        <w:t>a</w:t>
      </w:r>
      <w:r w:rsidR="00AB1DEB">
        <w:rPr>
          <w:rFonts w:eastAsia="Calibri"/>
          <w:color w:val="000000"/>
          <w:sz w:val="22"/>
          <w:szCs w:val="22"/>
          <w:lang w:eastAsia="en-US"/>
        </w:rPr>
        <w:t xml:space="preserve"> </w:t>
      </w:r>
      <w:r w:rsidR="00AB1DEB">
        <w:rPr>
          <w:rFonts w:eastAsia="Calibri"/>
          <w:color w:val="000000"/>
          <w:sz w:val="22"/>
          <w:szCs w:val="22"/>
          <w:lang w:eastAsia="en-US"/>
        </w:rPr>
        <w:tab/>
      </w:r>
      <w:r w:rsidR="00AB1DEB">
        <w:rPr>
          <w:rFonts w:eastAsia="Calibri"/>
          <w:color w:val="000000"/>
          <w:sz w:val="22"/>
          <w:szCs w:val="22"/>
          <w:lang w:eastAsia="en-US"/>
        </w:rPr>
        <w:tab/>
        <w:t xml:space="preserve">  </w:t>
      </w:r>
      <w:r w:rsidR="00644A9A">
        <w:rPr>
          <w:rFonts w:eastAsia="Calibri"/>
          <w:color w:val="000000"/>
          <w:sz w:val="22"/>
          <w:szCs w:val="22"/>
          <w:lang w:eastAsia="en-US"/>
        </w:rPr>
        <w:t xml:space="preserve">          </w:t>
      </w:r>
      <w:r w:rsidR="00AB1DEB">
        <w:rPr>
          <w:rFonts w:eastAsia="Calibri"/>
          <w:color w:val="000000"/>
          <w:sz w:val="22"/>
          <w:szCs w:val="22"/>
          <w:lang w:eastAsia="en-US"/>
        </w:rPr>
        <w:t xml:space="preserve">  </w:t>
      </w:r>
      <w:r w:rsidR="00644A9A">
        <w:rPr>
          <w:rFonts w:eastAsia="Calibri"/>
          <w:color w:val="000000"/>
          <w:sz w:val="22"/>
          <w:szCs w:val="22"/>
          <w:lang w:eastAsia="en-US"/>
        </w:rPr>
        <w:t xml:space="preserve">               </w:t>
      </w:r>
      <w:r w:rsidR="00AB1DEB">
        <w:rPr>
          <w:rFonts w:eastAsia="Calibri"/>
          <w:color w:val="000000"/>
          <w:sz w:val="22"/>
          <w:szCs w:val="22"/>
          <w:lang w:eastAsia="en-US"/>
        </w:rPr>
        <w:t xml:space="preserve">    </w:t>
      </w:r>
      <w:r w:rsidR="006839DA">
        <w:rPr>
          <w:rFonts w:eastAsia="Calibri"/>
          <w:color w:val="000000"/>
          <w:sz w:val="22"/>
          <w:szCs w:val="22"/>
          <w:lang w:eastAsia="en-US"/>
        </w:rPr>
        <w:t>parašas</w:t>
      </w:r>
      <w:r w:rsidR="00644A9A">
        <w:rPr>
          <w:rFonts w:eastAsia="Calibri"/>
          <w:color w:val="000000"/>
          <w:sz w:val="22"/>
          <w:szCs w:val="22"/>
          <w:lang w:eastAsia="en-US"/>
        </w:rPr>
        <w:tab/>
        <w:t xml:space="preserve">                                                                                    Audronė Račiūnienė</w:t>
      </w:r>
    </w:p>
    <w:sectPr w:rsidR="00AB1DEB" w:rsidRPr="00F41EB5" w:rsidSect="00F77DE7">
      <w:headerReference w:type="default" r:id="rId8"/>
      <w:footerReference w:type="default" r:id="rId9"/>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B055" w14:textId="77777777" w:rsidR="002A571E" w:rsidRDefault="002A571E" w:rsidP="001A6EBC">
      <w:r>
        <w:separator/>
      </w:r>
    </w:p>
  </w:endnote>
  <w:endnote w:type="continuationSeparator" w:id="0">
    <w:p w14:paraId="238753B3" w14:textId="77777777" w:rsidR="002A571E" w:rsidRDefault="002A571E" w:rsidP="001A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780887"/>
      <w:docPartObj>
        <w:docPartGallery w:val="Page Numbers (Bottom of Page)"/>
        <w:docPartUnique/>
      </w:docPartObj>
    </w:sdtPr>
    <w:sdtEndPr/>
    <w:sdtContent>
      <w:p w14:paraId="6594C3D2" w14:textId="77777777" w:rsidR="00F77DE7" w:rsidRDefault="00F77DE7">
        <w:pPr>
          <w:pStyle w:val="Porat"/>
          <w:jc w:val="right"/>
        </w:pPr>
        <w:r>
          <w:fldChar w:fldCharType="begin"/>
        </w:r>
        <w:r>
          <w:instrText>PAGE   \* MERGEFORMAT</w:instrText>
        </w:r>
        <w:r>
          <w:fldChar w:fldCharType="separate"/>
        </w:r>
        <w:r w:rsidR="00127DAB">
          <w:rPr>
            <w:noProof/>
          </w:rPr>
          <w:t>4</w:t>
        </w:r>
        <w:r>
          <w:fldChar w:fldCharType="end"/>
        </w:r>
      </w:p>
    </w:sdtContent>
  </w:sdt>
  <w:p w14:paraId="1729489A" w14:textId="77777777" w:rsidR="001A6EBC" w:rsidRDefault="001A6EB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A374" w14:textId="77777777" w:rsidR="002A571E" w:rsidRDefault="002A571E" w:rsidP="001A6EBC">
      <w:r>
        <w:separator/>
      </w:r>
    </w:p>
  </w:footnote>
  <w:footnote w:type="continuationSeparator" w:id="0">
    <w:p w14:paraId="75C745B6" w14:textId="77777777" w:rsidR="002A571E" w:rsidRDefault="002A571E" w:rsidP="001A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0E8B" w14:textId="77777777" w:rsidR="00F77DE7" w:rsidRDefault="00F77DE7">
    <w:pPr>
      <w:pStyle w:val="Antrats"/>
      <w:jc w:val="right"/>
    </w:pPr>
  </w:p>
  <w:p w14:paraId="1EAFCCF4" w14:textId="77777777" w:rsidR="00F77DE7" w:rsidRDefault="00F77D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E55"/>
    <w:multiLevelType w:val="hybridMultilevel"/>
    <w:tmpl w:val="62AE2BDA"/>
    <w:lvl w:ilvl="0" w:tplc="04270001">
      <w:start w:val="1"/>
      <w:numFmt w:val="bullet"/>
      <w:lvlText w:val=""/>
      <w:lvlJc w:val="left"/>
      <w:pPr>
        <w:tabs>
          <w:tab w:val="num" w:pos="792"/>
        </w:tabs>
        <w:ind w:left="792" w:hanging="360"/>
      </w:pPr>
      <w:rPr>
        <w:rFonts w:ascii="Symbol" w:hAnsi="Symbol" w:hint="default"/>
      </w:rPr>
    </w:lvl>
    <w:lvl w:ilvl="1" w:tplc="04270003" w:tentative="1">
      <w:start w:val="1"/>
      <w:numFmt w:val="bullet"/>
      <w:lvlText w:val="o"/>
      <w:lvlJc w:val="left"/>
      <w:pPr>
        <w:tabs>
          <w:tab w:val="num" w:pos="1512"/>
        </w:tabs>
        <w:ind w:left="1512" w:hanging="360"/>
      </w:pPr>
      <w:rPr>
        <w:rFonts w:ascii="Courier New" w:hAnsi="Courier New" w:cs="Courier New" w:hint="default"/>
      </w:rPr>
    </w:lvl>
    <w:lvl w:ilvl="2" w:tplc="04270005" w:tentative="1">
      <w:start w:val="1"/>
      <w:numFmt w:val="bullet"/>
      <w:lvlText w:val=""/>
      <w:lvlJc w:val="left"/>
      <w:pPr>
        <w:tabs>
          <w:tab w:val="num" w:pos="2232"/>
        </w:tabs>
        <w:ind w:left="2232" w:hanging="360"/>
      </w:pPr>
      <w:rPr>
        <w:rFonts w:ascii="Wingdings" w:hAnsi="Wingdings" w:hint="default"/>
      </w:rPr>
    </w:lvl>
    <w:lvl w:ilvl="3" w:tplc="04270001" w:tentative="1">
      <w:start w:val="1"/>
      <w:numFmt w:val="bullet"/>
      <w:lvlText w:val=""/>
      <w:lvlJc w:val="left"/>
      <w:pPr>
        <w:tabs>
          <w:tab w:val="num" w:pos="2952"/>
        </w:tabs>
        <w:ind w:left="2952" w:hanging="360"/>
      </w:pPr>
      <w:rPr>
        <w:rFonts w:ascii="Symbol" w:hAnsi="Symbol" w:hint="default"/>
      </w:rPr>
    </w:lvl>
    <w:lvl w:ilvl="4" w:tplc="04270003" w:tentative="1">
      <w:start w:val="1"/>
      <w:numFmt w:val="bullet"/>
      <w:lvlText w:val="o"/>
      <w:lvlJc w:val="left"/>
      <w:pPr>
        <w:tabs>
          <w:tab w:val="num" w:pos="3672"/>
        </w:tabs>
        <w:ind w:left="3672" w:hanging="360"/>
      </w:pPr>
      <w:rPr>
        <w:rFonts w:ascii="Courier New" w:hAnsi="Courier New" w:cs="Courier New" w:hint="default"/>
      </w:rPr>
    </w:lvl>
    <w:lvl w:ilvl="5" w:tplc="04270005" w:tentative="1">
      <w:start w:val="1"/>
      <w:numFmt w:val="bullet"/>
      <w:lvlText w:val=""/>
      <w:lvlJc w:val="left"/>
      <w:pPr>
        <w:tabs>
          <w:tab w:val="num" w:pos="4392"/>
        </w:tabs>
        <w:ind w:left="4392" w:hanging="360"/>
      </w:pPr>
      <w:rPr>
        <w:rFonts w:ascii="Wingdings" w:hAnsi="Wingdings" w:hint="default"/>
      </w:rPr>
    </w:lvl>
    <w:lvl w:ilvl="6" w:tplc="04270001" w:tentative="1">
      <w:start w:val="1"/>
      <w:numFmt w:val="bullet"/>
      <w:lvlText w:val=""/>
      <w:lvlJc w:val="left"/>
      <w:pPr>
        <w:tabs>
          <w:tab w:val="num" w:pos="5112"/>
        </w:tabs>
        <w:ind w:left="5112" w:hanging="360"/>
      </w:pPr>
      <w:rPr>
        <w:rFonts w:ascii="Symbol" w:hAnsi="Symbol" w:hint="default"/>
      </w:rPr>
    </w:lvl>
    <w:lvl w:ilvl="7" w:tplc="04270003" w:tentative="1">
      <w:start w:val="1"/>
      <w:numFmt w:val="bullet"/>
      <w:lvlText w:val="o"/>
      <w:lvlJc w:val="left"/>
      <w:pPr>
        <w:tabs>
          <w:tab w:val="num" w:pos="5832"/>
        </w:tabs>
        <w:ind w:left="5832" w:hanging="360"/>
      </w:pPr>
      <w:rPr>
        <w:rFonts w:ascii="Courier New" w:hAnsi="Courier New" w:cs="Courier New" w:hint="default"/>
      </w:rPr>
    </w:lvl>
    <w:lvl w:ilvl="8" w:tplc="0427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136301F7"/>
    <w:multiLevelType w:val="multilevel"/>
    <w:tmpl w:val="5FD4DE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17C063EE"/>
    <w:multiLevelType w:val="hybridMultilevel"/>
    <w:tmpl w:val="B6241D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964546"/>
    <w:multiLevelType w:val="hybridMultilevel"/>
    <w:tmpl w:val="8A58B2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2384F62"/>
    <w:multiLevelType w:val="hybridMultilevel"/>
    <w:tmpl w:val="21D662B0"/>
    <w:lvl w:ilvl="0" w:tplc="6F8E3A7C">
      <w:start w:val="2018"/>
      <w:numFmt w:val="bullet"/>
      <w:lvlText w:val="-"/>
      <w:lvlJc w:val="left"/>
      <w:pPr>
        <w:ind w:left="1069" w:hanging="360"/>
      </w:pPr>
      <w:rPr>
        <w:rFonts w:ascii="Times New Roman" w:eastAsia="Tahoma"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7F9A0E1D"/>
    <w:multiLevelType w:val="hybridMultilevel"/>
    <w:tmpl w:val="5A12D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91"/>
    <w:rsid w:val="00021063"/>
    <w:rsid w:val="000236DD"/>
    <w:rsid w:val="00035218"/>
    <w:rsid w:val="000808A9"/>
    <w:rsid w:val="00091194"/>
    <w:rsid w:val="00094B82"/>
    <w:rsid w:val="000B2336"/>
    <w:rsid w:val="000E1550"/>
    <w:rsid w:val="000E7E55"/>
    <w:rsid w:val="000F5AC1"/>
    <w:rsid w:val="00101B12"/>
    <w:rsid w:val="00107482"/>
    <w:rsid w:val="0011204D"/>
    <w:rsid w:val="00127DAB"/>
    <w:rsid w:val="0015119E"/>
    <w:rsid w:val="0015563D"/>
    <w:rsid w:val="00155B4E"/>
    <w:rsid w:val="00170046"/>
    <w:rsid w:val="001A2D67"/>
    <w:rsid w:val="001A6EBC"/>
    <w:rsid w:val="00222AA9"/>
    <w:rsid w:val="00237B50"/>
    <w:rsid w:val="00254E4C"/>
    <w:rsid w:val="002753A2"/>
    <w:rsid w:val="00283337"/>
    <w:rsid w:val="00286BDB"/>
    <w:rsid w:val="002A571E"/>
    <w:rsid w:val="002C258D"/>
    <w:rsid w:val="002E0EC5"/>
    <w:rsid w:val="002E119E"/>
    <w:rsid w:val="002E5AEB"/>
    <w:rsid w:val="002F1168"/>
    <w:rsid w:val="00302C91"/>
    <w:rsid w:val="00306EA5"/>
    <w:rsid w:val="00323CA0"/>
    <w:rsid w:val="00331AA5"/>
    <w:rsid w:val="00363AB6"/>
    <w:rsid w:val="003665F5"/>
    <w:rsid w:val="003971AE"/>
    <w:rsid w:val="003A0452"/>
    <w:rsid w:val="003C7CFF"/>
    <w:rsid w:val="003E78E3"/>
    <w:rsid w:val="003F2DD1"/>
    <w:rsid w:val="003F677F"/>
    <w:rsid w:val="0040700B"/>
    <w:rsid w:val="00411F30"/>
    <w:rsid w:val="00431E48"/>
    <w:rsid w:val="00464FD6"/>
    <w:rsid w:val="004921B3"/>
    <w:rsid w:val="00492A24"/>
    <w:rsid w:val="004A7AA6"/>
    <w:rsid w:val="004D43D9"/>
    <w:rsid w:val="004E37FB"/>
    <w:rsid w:val="004F2E7D"/>
    <w:rsid w:val="0050458F"/>
    <w:rsid w:val="00506B1C"/>
    <w:rsid w:val="00514539"/>
    <w:rsid w:val="00525F43"/>
    <w:rsid w:val="00542904"/>
    <w:rsid w:val="00556789"/>
    <w:rsid w:val="00562B73"/>
    <w:rsid w:val="00565C14"/>
    <w:rsid w:val="005708F4"/>
    <w:rsid w:val="005B0E59"/>
    <w:rsid w:val="005C482B"/>
    <w:rsid w:val="005F2937"/>
    <w:rsid w:val="0060768D"/>
    <w:rsid w:val="00621683"/>
    <w:rsid w:val="00644A9A"/>
    <w:rsid w:val="006554F2"/>
    <w:rsid w:val="0068056C"/>
    <w:rsid w:val="006839DA"/>
    <w:rsid w:val="00686FCE"/>
    <w:rsid w:val="006A3CCE"/>
    <w:rsid w:val="006A6218"/>
    <w:rsid w:val="006B1B33"/>
    <w:rsid w:val="006C43EB"/>
    <w:rsid w:val="006D6B28"/>
    <w:rsid w:val="006F4FBB"/>
    <w:rsid w:val="00713C2D"/>
    <w:rsid w:val="00725F15"/>
    <w:rsid w:val="00783BE8"/>
    <w:rsid w:val="00792EFB"/>
    <w:rsid w:val="007A1438"/>
    <w:rsid w:val="007D2522"/>
    <w:rsid w:val="007D7433"/>
    <w:rsid w:val="007E7A3F"/>
    <w:rsid w:val="0081158D"/>
    <w:rsid w:val="0081773C"/>
    <w:rsid w:val="00826DD6"/>
    <w:rsid w:val="00836EAA"/>
    <w:rsid w:val="008C1AEF"/>
    <w:rsid w:val="008D22B6"/>
    <w:rsid w:val="008E22DA"/>
    <w:rsid w:val="008F206D"/>
    <w:rsid w:val="008F7656"/>
    <w:rsid w:val="0091693E"/>
    <w:rsid w:val="009600C6"/>
    <w:rsid w:val="00964AA3"/>
    <w:rsid w:val="00997B51"/>
    <w:rsid w:val="009F5EB4"/>
    <w:rsid w:val="00A479B0"/>
    <w:rsid w:val="00A60CD0"/>
    <w:rsid w:val="00A668C9"/>
    <w:rsid w:val="00A757A4"/>
    <w:rsid w:val="00A94EAC"/>
    <w:rsid w:val="00AB1DEB"/>
    <w:rsid w:val="00AB6A0E"/>
    <w:rsid w:val="00AC0284"/>
    <w:rsid w:val="00AC124A"/>
    <w:rsid w:val="00AE1933"/>
    <w:rsid w:val="00B06F9D"/>
    <w:rsid w:val="00B11FAE"/>
    <w:rsid w:val="00B178B7"/>
    <w:rsid w:val="00B3001D"/>
    <w:rsid w:val="00B327D2"/>
    <w:rsid w:val="00B34373"/>
    <w:rsid w:val="00B629CC"/>
    <w:rsid w:val="00B84E81"/>
    <w:rsid w:val="00BA4EF7"/>
    <w:rsid w:val="00BE0C34"/>
    <w:rsid w:val="00C03782"/>
    <w:rsid w:val="00C0393B"/>
    <w:rsid w:val="00C0668F"/>
    <w:rsid w:val="00C17F23"/>
    <w:rsid w:val="00C40E5E"/>
    <w:rsid w:val="00C42980"/>
    <w:rsid w:val="00C51769"/>
    <w:rsid w:val="00C555EE"/>
    <w:rsid w:val="00C65DE2"/>
    <w:rsid w:val="00C934F4"/>
    <w:rsid w:val="00C93E47"/>
    <w:rsid w:val="00CA04B2"/>
    <w:rsid w:val="00CA12FF"/>
    <w:rsid w:val="00CA2FFC"/>
    <w:rsid w:val="00CB1949"/>
    <w:rsid w:val="00CB7CF8"/>
    <w:rsid w:val="00CD1BB4"/>
    <w:rsid w:val="00D22D75"/>
    <w:rsid w:val="00D31D8A"/>
    <w:rsid w:val="00D41F05"/>
    <w:rsid w:val="00D5377F"/>
    <w:rsid w:val="00D61382"/>
    <w:rsid w:val="00D6411E"/>
    <w:rsid w:val="00D85304"/>
    <w:rsid w:val="00D940E1"/>
    <w:rsid w:val="00DB145C"/>
    <w:rsid w:val="00DD7D77"/>
    <w:rsid w:val="00DE11FF"/>
    <w:rsid w:val="00E03322"/>
    <w:rsid w:val="00E15459"/>
    <w:rsid w:val="00E26191"/>
    <w:rsid w:val="00E27ACE"/>
    <w:rsid w:val="00E363D0"/>
    <w:rsid w:val="00E3649E"/>
    <w:rsid w:val="00E40752"/>
    <w:rsid w:val="00E72591"/>
    <w:rsid w:val="00E7294E"/>
    <w:rsid w:val="00E813FC"/>
    <w:rsid w:val="00E84A71"/>
    <w:rsid w:val="00E86AC7"/>
    <w:rsid w:val="00E93B79"/>
    <w:rsid w:val="00EA4B6B"/>
    <w:rsid w:val="00EB3227"/>
    <w:rsid w:val="00EE44E3"/>
    <w:rsid w:val="00F1036B"/>
    <w:rsid w:val="00F200F7"/>
    <w:rsid w:val="00F3032B"/>
    <w:rsid w:val="00F41EB5"/>
    <w:rsid w:val="00F466A5"/>
    <w:rsid w:val="00F727BD"/>
    <w:rsid w:val="00F77DE7"/>
    <w:rsid w:val="00FA71C3"/>
    <w:rsid w:val="00FB0FDB"/>
    <w:rsid w:val="00FB1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C809E"/>
  <w15:docId w15:val="{96AAEF00-9684-4975-B9A3-EC1DE4A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2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AE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AE1933"/>
    <w:rPr>
      <w:rFonts w:ascii="Courier New" w:hAnsi="Courier New" w:cs="Courier New"/>
    </w:rPr>
  </w:style>
  <w:style w:type="paragraph" w:styleId="Debesliotekstas">
    <w:name w:val="Balloon Text"/>
    <w:basedOn w:val="prastasis"/>
    <w:link w:val="DebesliotekstasDiagrama"/>
    <w:rsid w:val="008E22DA"/>
    <w:rPr>
      <w:rFonts w:ascii="Tahoma" w:hAnsi="Tahoma" w:cs="Tahoma"/>
      <w:sz w:val="16"/>
      <w:szCs w:val="16"/>
    </w:rPr>
  </w:style>
  <w:style w:type="character" w:customStyle="1" w:styleId="DebesliotekstasDiagrama">
    <w:name w:val="Debesėlio tekstas Diagrama"/>
    <w:basedOn w:val="Numatytasispastraiposriftas"/>
    <w:link w:val="Debesliotekstas"/>
    <w:rsid w:val="008E22DA"/>
    <w:rPr>
      <w:rFonts w:ascii="Tahoma" w:hAnsi="Tahoma" w:cs="Tahoma"/>
      <w:sz w:val="16"/>
      <w:szCs w:val="16"/>
    </w:rPr>
  </w:style>
  <w:style w:type="paragraph" w:styleId="Antrats">
    <w:name w:val="header"/>
    <w:basedOn w:val="prastasis"/>
    <w:link w:val="AntratsDiagrama"/>
    <w:uiPriority w:val="99"/>
    <w:rsid w:val="001A6EBC"/>
    <w:pPr>
      <w:tabs>
        <w:tab w:val="center" w:pos="4819"/>
        <w:tab w:val="right" w:pos="9638"/>
      </w:tabs>
    </w:pPr>
  </w:style>
  <w:style w:type="character" w:customStyle="1" w:styleId="AntratsDiagrama">
    <w:name w:val="Antraštės Diagrama"/>
    <w:basedOn w:val="Numatytasispastraiposriftas"/>
    <w:link w:val="Antrats"/>
    <w:uiPriority w:val="99"/>
    <w:rsid w:val="001A6EBC"/>
    <w:rPr>
      <w:sz w:val="24"/>
      <w:szCs w:val="24"/>
    </w:rPr>
  </w:style>
  <w:style w:type="paragraph" w:styleId="Porat">
    <w:name w:val="footer"/>
    <w:basedOn w:val="prastasis"/>
    <w:link w:val="PoratDiagrama"/>
    <w:uiPriority w:val="99"/>
    <w:rsid w:val="001A6EBC"/>
    <w:pPr>
      <w:tabs>
        <w:tab w:val="center" w:pos="4819"/>
        <w:tab w:val="right" w:pos="9638"/>
      </w:tabs>
    </w:pPr>
  </w:style>
  <w:style w:type="character" w:customStyle="1" w:styleId="PoratDiagrama">
    <w:name w:val="Poraštė Diagrama"/>
    <w:basedOn w:val="Numatytasispastraiposriftas"/>
    <w:link w:val="Porat"/>
    <w:uiPriority w:val="99"/>
    <w:rsid w:val="001A6EBC"/>
    <w:rPr>
      <w:sz w:val="24"/>
      <w:szCs w:val="24"/>
    </w:rPr>
  </w:style>
  <w:style w:type="paragraph" w:styleId="Sraopastraipa">
    <w:name w:val="List Paragraph"/>
    <w:basedOn w:val="prastasis"/>
    <w:uiPriority w:val="34"/>
    <w:qFormat/>
    <w:rsid w:val="00B06F9D"/>
    <w:pPr>
      <w:ind w:left="720"/>
      <w:contextualSpacing/>
    </w:pPr>
  </w:style>
  <w:style w:type="paragraph" w:customStyle="1" w:styleId="Default">
    <w:name w:val="Default"/>
    <w:basedOn w:val="prastasis"/>
    <w:rsid w:val="00331AA5"/>
    <w:pPr>
      <w:autoSpaceDE w:val="0"/>
      <w:autoSpaceDN w:val="0"/>
      <w:ind w:firstLine="720"/>
    </w:pPr>
    <w:rPr>
      <w:rFonts w:ascii="Arial" w:eastAsia="Calibri"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FBD3-8925-4526-ACAB-F2CF7023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2873</Words>
  <Characters>1639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PSPC</cp:lastModifiedBy>
  <cp:revision>19</cp:revision>
  <cp:lastPrinted>2020-03-12T11:13:00Z</cp:lastPrinted>
  <dcterms:created xsi:type="dcterms:W3CDTF">2020-03-10T10:04:00Z</dcterms:created>
  <dcterms:modified xsi:type="dcterms:W3CDTF">2021-02-23T11:27:00Z</dcterms:modified>
</cp:coreProperties>
</file>