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E83C" w14:textId="2997091A" w:rsidR="006D7E0B" w:rsidRDefault="004A7B03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B03">
        <w:rPr>
          <w:rFonts w:ascii="Times New Roman" w:hAnsi="Times New Roman" w:cs="Times New Roman"/>
          <w:b/>
          <w:bCs/>
          <w:sz w:val="24"/>
          <w:szCs w:val="24"/>
        </w:rPr>
        <w:t xml:space="preserve">VIEŠOSIOS ĮSTAIGOS KUDIRKOS </w:t>
      </w:r>
      <w:proofErr w:type="gramStart"/>
      <w:r w:rsidRPr="004A7B03">
        <w:rPr>
          <w:rFonts w:ascii="Times New Roman" w:hAnsi="Times New Roman" w:cs="Times New Roman"/>
          <w:b/>
          <w:bCs/>
          <w:sz w:val="24"/>
          <w:szCs w:val="24"/>
        </w:rPr>
        <w:t>NAUMIESČIO  PIRMINĖS</w:t>
      </w:r>
      <w:proofErr w:type="gramEnd"/>
      <w:r w:rsidRPr="004A7B03">
        <w:rPr>
          <w:rFonts w:ascii="Times New Roman" w:hAnsi="Times New Roman" w:cs="Times New Roman"/>
          <w:b/>
          <w:bCs/>
          <w:sz w:val="24"/>
          <w:szCs w:val="24"/>
        </w:rPr>
        <w:t xml:space="preserve"> SVEIKATOS PRIEŽIŪROS CENTRO KORUPCIJOS PREVENCIJOS 2020−202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7B03">
        <w:rPr>
          <w:rFonts w:ascii="Times New Roman" w:hAnsi="Times New Roman" w:cs="Times New Roman"/>
          <w:b/>
          <w:bCs/>
          <w:sz w:val="24"/>
          <w:szCs w:val="24"/>
        </w:rPr>
        <w:t xml:space="preserve"> METŲ PROGRAMOS ĮGYVENDINIMO PRIEMONIŲ PLANO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03F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4A7B03">
        <w:rPr>
          <w:rFonts w:ascii="Times New Roman" w:hAnsi="Times New Roman" w:cs="Times New Roman"/>
          <w:b/>
          <w:bCs/>
          <w:sz w:val="24"/>
          <w:szCs w:val="24"/>
        </w:rPr>
        <w:t xml:space="preserve"> METŲ ĮGYVENDINIMO ATASKAITA</w:t>
      </w:r>
    </w:p>
    <w:p w14:paraId="6E04A6BE" w14:textId="1A9251E4" w:rsidR="004A7B03" w:rsidRDefault="004A7B03" w:rsidP="0050567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90D7F" w:rsidRPr="005A3DEC" w14:paraId="21D63802" w14:textId="77777777" w:rsidTr="00990D7F">
        <w:tc>
          <w:tcPr>
            <w:tcW w:w="12950" w:type="dxa"/>
          </w:tcPr>
          <w:p w14:paraId="2BE240A1" w14:textId="02EB8588" w:rsidR="00990D7F" w:rsidRPr="005A3DEC" w:rsidRDefault="00990D7F" w:rsidP="00505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EC">
              <w:rPr>
                <w:rFonts w:ascii="Times New Roman" w:hAnsi="Times New Roman" w:cs="Times New Roman"/>
                <w:b/>
                <w:bCs/>
              </w:rPr>
              <w:t xml:space="preserve">1. TIKSLAS. Centre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įdiegti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bendrus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elgesio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standartus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90D7F" w:rsidRPr="005A3DEC" w14:paraId="0DC74A41" w14:textId="77777777" w:rsidTr="00990D7F">
        <w:tc>
          <w:tcPr>
            <w:tcW w:w="12950" w:type="dxa"/>
          </w:tcPr>
          <w:p w14:paraId="47EDEDC4" w14:textId="47BD0D4E" w:rsidR="00990D7F" w:rsidRPr="005A3DEC" w:rsidRDefault="00990D7F" w:rsidP="00505679">
            <w:pPr>
              <w:rPr>
                <w:rFonts w:ascii="Times New Roman" w:hAnsi="Times New Roman" w:cs="Times New Roman"/>
                <w:b/>
                <w:bCs/>
              </w:rPr>
            </w:pPr>
            <w:r w:rsidRPr="005A3DEC">
              <w:rPr>
                <w:rFonts w:ascii="Times New Roman" w:hAnsi="Times New Roman" w:cs="Times New Roman"/>
                <w:b/>
                <w:bCs/>
              </w:rPr>
              <w:t xml:space="preserve">1.1. UŽDAVINYS.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Tobulinti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antikorupcinę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aplinką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valdyti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interesų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</w:rPr>
              <w:t>konfliktus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7A5C4B13" w14:textId="4BDBF755" w:rsidR="00990D7F" w:rsidRPr="005A3DEC" w:rsidRDefault="00990D7F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0"/>
        <w:gridCol w:w="30"/>
        <w:gridCol w:w="3366"/>
        <w:gridCol w:w="1636"/>
        <w:gridCol w:w="2122"/>
        <w:gridCol w:w="4956"/>
      </w:tblGrid>
      <w:tr w:rsidR="00450478" w14:paraId="42A81679" w14:textId="77777777" w:rsidTr="003B1BAA">
        <w:tc>
          <w:tcPr>
            <w:tcW w:w="870" w:type="dxa"/>
            <w:gridSpan w:val="2"/>
          </w:tcPr>
          <w:p w14:paraId="53BC41F1" w14:textId="436E9245" w:rsidR="00990D7F" w:rsidRPr="00505679" w:rsidRDefault="00505679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14:paraId="783A8E64" w14:textId="3E0EE0D6" w:rsidR="00990D7F" w:rsidRPr="00505679" w:rsidRDefault="00505679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417" w:type="dxa"/>
          </w:tcPr>
          <w:p w14:paraId="79759C58" w14:textId="4E198836" w:rsidR="00990D7F" w:rsidRPr="00505679" w:rsidRDefault="00505679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2173" w:type="dxa"/>
          </w:tcPr>
          <w:p w14:paraId="2FFBCC4A" w14:textId="5FAF5811" w:rsidR="00990D7F" w:rsidRPr="00505679" w:rsidRDefault="00505679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  <w:proofErr w:type="spellEnd"/>
          </w:p>
        </w:tc>
        <w:tc>
          <w:tcPr>
            <w:tcW w:w="4970" w:type="dxa"/>
          </w:tcPr>
          <w:p w14:paraId="69D8F125" w14:textId="63CD5CEB" w:rsidR="00990D7F" w:rsidRPr="00505679" w:rsidRDefault="00505679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Įvykdymas</w:t>
            </w:r>
            <w:proofErr w:type="spellEnd"/>
          </w:p>
        </w:tc>
      </w:tr>
      <w:tr w:rsidR="00450478" w14:paraId="1AA2BBE2" w14:textId="77777777" w:rsidTr="003B1BAA">
        <w:tc>
          <w:tcPr>
            <w:tcW w:w="870" w:type="dxa"/>
            <w:gridSpan w:val="2"/>
          </w:tcPr>
          <w:p w14:paraId="4572E75D" w14:textId="54D99DDF" w:rsidR="00990D7F" w:rsidRPr="00450478" w:rsidRDefault="00450478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20" w:type="dxa"/>
          </w:tcPr>
          <w:p w14:paraId="6422B898" w14:textId="4CAFBED5" w:rsidR="00990D7F" w:rsidRPr="00505679" w:rsidRDefault="00505679" w:rsidP="005056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5679">
              <w:rPr>
                <w:rFonts w:ascii="Times New Roman" w:hAnsi="Times New Roman" w:cs="Times New Roman"/>
              </w:rPr>
              <w:t>Pasitvirtinti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Centre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pareigų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kurias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einantys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asmenys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privalo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deklaruoti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privačius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interesus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sąrašą</w:t>
            </w:r>
            <w:proofErr w:type="spellEnd"/>
            <w:r w:rsidRPr="00505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31088F2" w14:textId="6B58009B" w:rsidR="00990D7F" w:rsidRPr="00450478" w:rsidRDefault="00450478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4C626AB4" w14:textId="6610A576" w:rsidR="00990D7F" w:rsidRPr="00450478" w:rsidRDefault="00450478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A03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 xml:space="preserve"> kt.</w:t>
            </w:r>
          </w:p>
        </w:tc>
        <w:tc>
          <w:tcPr>
            <w:tcW w:w="4970" w:type="dxa"/>
          </w:tcPr>
          <w:p w14:paraId="2322CC48" w14:textId="0C0396E7" w:rsidR="00505679" w:rsidRPr="00990D7F" w:rsidRDefault="00505679" w:rsidP="00505679">
            <w:pPr>
              <w:jc w:val="both"/>
              <w:rPr>
                <w:rFonts w:ascii="Times New Roman" w:hAnsi="Times New Roman" w:cs="Times New Roman"/>
              </w:rPr>
            </w:pPr>
            <w:r w:rsidRPr="00990D7F">
              <w:rPr>
                <w:rFonts w:ascii="Times New Roman" w:hAnsi="Times New Roman" w:cs="Times New Roman"/>
              </w:rPr>
              <w:t xml:space="preserve">Centro </w:t>
            </w:r>
            <w:proofErr w:type="spellStart"/>
            <w:proofErr w:type="gramStart"/>
            <w:r w:rsidR="00A76C52">
              <w:rPr>
                <w:rFonts w:ascii="Times New Roman" w:hAnsi="Times New Roman" w:cs="Times New Roman"/>
              </w:rPr>
              <w:t>vyr.gydytojos</w:t>
            </w:r>
            <w:proofErr w:type="spellEnd"/>
            <w:proofErr w:type="gramEnd"/>
            <w:r w:rsidRPr="00990D7F">
              <w:rPr>
                <w:rFonts w:ascii="Times New Roman" w:hAnsi="Times New Roman" w:cs="Times New Roman"/>
              </w:rPr>
              <w:t xml:space="preserve"> 2022 m. </w:t>
            </w:r>
            <w:proofErr w:type="spellStart"/>
            <w:r w:rsidRPr="00990D7F">
              <w:rPr>
                <w:rFonts w:ascii="Times New Roman" w:hAnsi="Times New Roman" w:cs="Times New Roman"/>
              </w:rPr>
              <w:t>rugsėjo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09 d </w:t>
            </w:r>
            <w:proofErr w:type="spellStart"/>
            <w:r w:rsidRPr="00990D7F">
              <w:rPr>
                <w:rFonts w:ascii="Times New Roman" w:hAnsi="Times New Roman" w:cs="Times New Roman"/>
              </w:rPr>
              <w:t>įsakymu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Nr. </w:t>
            </w:r>
            <w:r w:rsidR="006A03F6">
              <w:rPr>
                <w:rFonts w:ascii="Times New Roman" w:hAnsi="Times New Roman" w:cs="Times New Roman"/>
              </w:rPr>
              <w:t>PV</w:t>
            </w:r>
            <w:r w:rsidRPr="00990D7F">
              <w:rPr>
                <w:rFonts w:ascii="Times New Roman" w:hAnsi="Times New Roman" w:cs="Times New Roman"/>
              </w:rPr>
              <w:t xml:space="preserve">- 17 </w:t>
            </w:r>
            <w:proofErr w:type="spellStart"/>
            <w:r w:rsidRPr="00990D7F">
              <w:rPr>
                <w:rFonts w:ascii="Times New Roman" w:hAnsi="Times New Roman" w:cs="Times New Roman"/>
              </w:rPr>
              <w:t>patvirtintas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Viešosios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įstaigos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Kudirkos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Naumiesčio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pirminės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sveikatos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priežiūros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centro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pareigų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D7F">
              <w:rPr>
                <w:rFonts w:ascii="Times New Roman" w:hAnsi="Times New Roman" w:cs="Times New Roman"/>
              </w:rPr>
              <w:t>kurias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einantys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asmenys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privalo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deklaruoti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privačius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7F">
              <w:rPr>
                <w:rFonts w:ascii="Times New Roman" w:hAnsi="Times New Roman" w:cs="Times New Roman"/>
              </w:rPr>
              <w:t>interesus</w:t>
            </w:r>
            <w:proofErr w:type="spellEnd"/>
            <w:r w:rsidRPr="00990D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D7F">
              <w:rPr>
                <w:rFonts w:ascii="Times New Roman" w:hAnsi="Times New Roman" w:cs="Times New Roman"/>
              </w:rPr>
              <w:t>sąrašas</w:t>
            </w:r>
            <w:proofErr w:type="spellEnd"/>
          </w:p>
          <w:p w14:paraId="76A45D78" w14:textId="77777777" w:rsidR="00990D7F" w:rsidRDefault="00990D7F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478" w14:paraId="11D3B816" w14:textId="77777777" w:rsidTr="003B1BAA">
        <w:tc>
          <w:tcPr>
            <w:tcW w:w="870" w:type="dxa"/>
            <w:gridSpan w:val="2"/>
          </w:tcPr>
          <w:p w14:paraId="700E872B" w14:textId="7337CE03" w:rsidR="00990D7F" w:rsidRDefault="00450478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14:paraId="7864740E" w14:textId="5C2B96AA" w:rsidR="00990D7F" w:rsidRPr="00505679" w:rsidRDefault="00505679" w:rsidP="005056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5679">
              <w:rPr>
                <w:rFonts w:ascii="Times New Roman" w:hAnsi="Times New Roman" w:cs="Times New Roman"/>
              </w:rPr>
              <w:t>Parengti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Darbuotojų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etikos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ir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5679">
              <w:rPr>
                <w:rFonts w:ascii="Times New Roman" w:hAnsi="Times New Roman" w:cs="Times New Roman"/>
              </w:rPr>
              <w:t>ar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elgesio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kodeksą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ar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taisykles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pagal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sveikatos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apsaugos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ministro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įsakymu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patvirtintą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pavyzdinį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ASPĮ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darbuotojų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etikos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ir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5679">
              <w:rPr>
                <w:rFonts w:ascii="Times New Roman" w:hAnsi="Times New Roman" w:cs="Times New Roman"/>
              </w:rPr>
              <w:t>ar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elgesio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kodeksą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ar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taisykles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ir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paskelbi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jas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įstaigos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interneto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svetainėje</w:t>
            </w:r>
            <w:proofErr w:type="spellEnd"/>
          </w:p>
        </w:tc>
        <w:tc>
          <w:tcPr>
            <w:tcW w:w="1417" w:type="dxa"/>
          </w:tcPr>
          <w:p w14:paraId="40C52B9B" w14:textId="67BA45A5" w:rsidR="00990D7F" w:rsidRDefault="00450478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6726B026" w14:textId="5A09213D" w:rsidR="00990D7F" w:rsidRDefault="00450478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A03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 xml:space="preserve"> kt.</w:t>
            </w:r>
          </w:p>
        </w:tc>
        <w:tc>
          <w:tcPr>
            <w:tcW w:w="4970" w:type="dxa"/>
          </w:tcPr>
          <w:p w14:paraId="52408FA6" w14:textId="3DE3C599" w:rsidR="00990D7F" w:rsidRPr="003B1BAA" w:rsidRDefault="003B1BAA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BAA">
              <w:rPr>
                <w:rFonts w:ascii="Times New Roman" w:hAnsi="Times New Roman" w:cs="Times New Roman"/>
                <w:sz w:val="24"/>
                <w:szCs w:val="24"/>
              </w:rPr>
              <w:t>Parengtas</w:t>
            </w:r>
            <w:proofErr w:type="spellEnd"/>
            <w:r w:rsidRPr="003B1BAA">
              <w:rPr>
                <w:rFonts w:ascii="Times New Roman" w:hAnsi="Times New Roman" w:cs="Times New Roman"/>
                <w:sz w:val="24"/>
                <w:szCs w:val="24"/>
              </w:rPr>
              <w:t xml:space="preserve"> 2022 m.</w:t>
            </w:r>
          </w:p>
        </w:tc>
      </w:tr>
      <w:tr w:rsidR="00450478" w14:paraId="46AC93D8" w14:textId="77777777" w:rsidTr="003B1BAA"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0249E33C" w14:textId="4BADA432" w:rsidR="00990D7F" w:rsidRDefault="00450478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679F33F6" w14:textId="1A39661F" w:rsidR="00990D7F" w:rsidRPr="00505679" w:rsidRDefault="00505679" w:rsidP="005056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5679">
              <w:rPr>
                <w:rFonts w:ascii="Times New Roman" w:hAnsi="Times New Roman" w:cs="Times New Roman"/>
              </w:rPr>
              <w:t>Kasmet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teikti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Centro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darbuotojų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etikos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taisyklių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taikymo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rezultatus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apibendrintus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skundus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dėl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darbuotojų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etikos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taisyklių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pažeidimo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etikos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taisyklių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nuostatų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laikymosi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kontrolės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etikos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komisijos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posėdžiuose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priimtus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sprendimus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9942ED" w14:textId="700EBE67" w:rsidR="00990D7F" w:rsidRDefault="00450478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4FA977C8" w14:textId="437E6AA5" w:rsidR="00990D7F" w:rsidRPr="00450478" w:rsidRDefault="00450478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33650CE6" w14:textId="77777777" w:rsidR="00990D7F" w:rsidRDefault="00990D7F" w:rsidP="004A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478" w14:paraId="7E67126F" w14:textId="77777777" w:rsidTr="003B1BAA"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65B09976" w14:textId="1FA72CAC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42FC3575" w14:textId="6888A95A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5679">
              <w:rPr>
                <w:rFonts w:ascii="Times New Roman" w:hAnsi="Times New Roman" w:cs="Times New Roman"/>
              </w:rPr>
              <w:t>Parengti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dovanų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taip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pat </w:t>
            </w:r>
            <w:proofErr w:type="spellStart"/>
            <w:r w:rsidRPr="00505679">
              <w:rPr>
                <w:rFonts w:ascii="Times New Roman" w:hAnsi="Times New Roman" w:cs="Times New Roman"/>
              </w:rPr>
              <w:t>reprezentacijai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skirtų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dovanų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perdavimo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vertinimo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lastRenderedPageBreak/>
              <w:t>registravimo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saugojimo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ir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eksponavimo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tvarkos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aprašą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pagal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Lietuvos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Respublikos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specialiųjų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tyrimų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tarnybos</w:t>
            </w:r>
            <w:proofErr w:type="spellEnd"/>
            <w:r w:rsidRPr="00505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679">
              <w:rPr>
                <w:rFonts w:ascii="Times New Roman" w:hAnsi="Times New Roman" w:cs="Times New Roman"/>
              </w:rPr>
              <w:t>rekomendacijas</w:t>
            </w:r>
            <w:proofErr w:type="spellEnd"/>
            <w:r w:rsidRPr="00505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9BB16E" w14:textId="7960D602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Vyr.gydytoja</w:t>
            </w:r>
            <w:proofErr w:type="spellEnd"/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4FF2A054" w14:textId="091E3469" w:rsidR="00450478" w:rsidRPr="00450478" w:rsidRDefault="00450478" w:rsidP="0045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3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047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29FD886A" w14:textId="06D39A7B" w:rsidR="00450478" w:rsidRPr="003B1BAA" w:rsidRDefault="003B1BAA" w:rsidP="0045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BAA">
              <w:rPr>
                <w:rFonts w:ascii="Times New Roman" w:hAnsi="Times New Roman" w:cs="Times New Roman"/>
                <w:sz w:val="24"/>
                <w:szCs w:val="24"/>
              </w:rPr>
              <w:t>Parengtas</w:t>
            </w:r>
            <w:proofErr w:type="spellEnd"/>
            <w:r w:rsidRPr="003B1BA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478" w14:paraId="3DEF3743" w14:textId="77777777" w:rsidTr="003B1BAA"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B3AE9" w14:textId="77777777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EFF6" w14:textId="77777777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578BF" w14:textId="77777777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2310" w14:textId="77777777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BD109" w14:textId="77777777" w:rsidR="00450478" w:rsidRDefault="00450478" w:rsidP="0045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478" w14:paraId="6925CA48" w14:textId="77777777" w:rsidTr="00505679">
        <w:tc>
          <w:tcPr>
            <w:tcW w:w="12950" w:type="dxa"/>
            <w:gridSpan w:val="6"/>
          </w:tcPr>
          <w:p w14:paraId="5FE82D7C" w14:textId="073CE308" w:rsidR="00450478" w:rsidRPr="005A3DEC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TIKSLAS.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Didinti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visuomenės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antikorupcinį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sąmoningumą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netoleranciją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korupcijai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skatinti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sveikatos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sistemos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sektorių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skaidriai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sąžiningai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netoleruojant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korupcijos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kito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nesąžiningo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elgesio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50478" w14:paraId="5C70F646" w14:textId="77777777" w:rsidTr="00505679">
        <w:tc>
          <w:tcPr>
            <w:tcW w:w="12950" w:type="dxa"/>
            <w:gridSpan w:val="6"/>
          </w:tcPr>
          <w:p w14:paraId="5D1C8097" w14:textId="77777777" w:rsidR="00450478" w:rsidRPr="005A3DEC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 UŽDAVINYS.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Didinti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Centro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viešumą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atskaitingumą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visuomenei</w:t>
            </w:r>
            <w:proofErr w:type="spellEnd"/>
            <w:r w:rsidRPr="005A3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CFF6275" w14:textId="12FF0982" w:rsidR="00450478" w:rsidRPr="005A3DEC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478" w14:paraId="73F34E0A" w14:textId="341DA800" w:rsidTr="003B1BAA">
        <w:tc>
          <w:tcPr>
            <w:tcW w:w="840" w:type="dxa"/>
          </w:tcPr>
          <w:p w14:paraId="3B70DDA1" w14:textId="60F918B8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3550" w:type="dxa"/>
            <w:gridSpan w:val="2"/>
          </w:tcPr>
          <w:p w14:paraId="446D88A6" w14:textId="6D4AEE9B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Organizuoti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Centrui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pacientams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atstovaujančių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organizacijų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diskusiją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apie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pagarbos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pasitikėjimo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atsakomybės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ugdymą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tarp </w:t>
            </w:r>
            <w:proofErr w:type="spellStart"/>
            <w:r w:rsidRPr="00450478">
              <w:rPr>
                <w:rFonts w:ascii="Times New Roman" w:hAnsi="Times New Roman" w:cs="Times New Roman"/>
              </w:rPr>
              <w:t>medikų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F8C838A" w14:textId="72B8368D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4A96B531" w14:textId="1FAD1E6D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</w:rPr>
            </w:pPr>
            <w:r w:rsidRPr="00450478">
              <w:rPr>
                <w:rFonts w:ascii="Times New Roman" w:hAnsi="Times New Roman" w:cs="Times New Roman"/>
              </w:rPr>
              <w:t>1x m.</w:t>
            </w:r>
          </w:p>
        </w:tc>
        <w:tc>
          <w:tcPr>
            <w:tcW w:w="4970" w:type="dxa"/>
          </w:tcPr>
          <w:p w14:paraId="70C2D699" w14:textId="05D9544E" w:rsidR="00450478" w:rsidRPr="00505679" w:rsidRDefault="008F0CF3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50478" w14:paraId="6C66D91B" w14:textId="791E22F8" w:rsidTr="003B1BAA">
        <w:tc>
          <w:tcPr>
            <w:tcW w:w="840" w:type="dxa"/>
          </w:tcPr>
          <w:p w14:paraId="718A9444" w14:textId="044113F8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2.1.2</w:t>
            </w:r>
          </w:p>
        </w:tc>
        <w:tc>
          <w:tcPr>
            <w:tcW w:w="3550" w:type="dxa"/>
            <w:gridSpan w:val="2"/>
          </w:tcPr>
          <w:p w14:paraId="0A3DAF41" w14:textId="6F1F2C60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Vykdyti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apklausas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apie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pasitenkinimo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teikiamomis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paslaugomis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lygį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Centro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interneto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svetainėje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viešinti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apibendrintus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apklausų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rezultatus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0E02085" w14:textId="47CEB8EC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3010065E" w14:textId="63D4FF73" w:rsidR="00450478" w:rsidRPr="008F0CF3" w:rsidRDefault="008F0CF3" w:rsidP="00450478">
            <w:pPr>
              <w:jc w:val="both"/>
              <w:rPr>
                <w:rFonts w:ascii="Times New Roman" w:hAnsi="Times New Roman" w:cs="Times New Roman"/>
              </w:rPr>
            </w:pPr>
            <w:r w:rsidRPr="008F0CF3">
              <w:rPr>
                <w:rFonts w:ascii="Times New Roman" w:hAnsi="Times New Roman" w:cs="Times New Roman"/>
              </w:rPr>
              <w:t xml:space="preserve">1x m. </w:t>
            </w:r>
          </w:p>
        </w:tc>
        <w:tc>
          <w:tcPr>
            <w:tcW w:w="4970" w:type="dxa"/>
          </w:tcPr>
          <w:p w14:paraId="14307F47" w14:textId="1867EAAC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Dėl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paskelbto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karantino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ekstremalios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situacijos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|</w:t>
            </w:r>
            <w:proofErr w:type="spellStart"/>
            <w:r w:rsidRPr="00450478">
              <w:rPr>
                <w:rFonts w:ascii="Times New Roman" w:hAnsi="Times New Roman" w:cs="Times New Roman"/>
              </w:rPr>
              <w:t>Lietuvos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Respublikoje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dėl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infekcijos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apklausa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neatlikta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</w:tr>
      <w:tr w:rsidR="00450478" w14:paraId="5727E8C6" w14:textId="7452BCA1" w:rsidTr="003B1BAA">
        <w:tc>
          <w:tcPr>
            <w:tcW w:w="840" w:type="dxa"/>
          </w:tcPr>
          <w:p w14:paraId="6686A9AB" w14:textId="733B1A8D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2.1.3</w:t>
            </w:r>
          </w:p>
        </w:tc>
        <w:tc>
          <w:tcPr>
            <w:tcW w:w="3550" w:type="dxa"/>
            <w:gridSpan w:val="2"/>
          </w:tcPr>
          <w:p w14:paraId="6B20BEC3" w14:textId="7654B6DC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0478">
              <w:rPr>
                <w:rFonts w:ascii="Times New Roman" w:hAnsi="Times New Roman" w:cs="Times New Roman"/>
              </w:rPr>
              <w:t xml:space="preserve">Centro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skelbimo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lentose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0478">
              <w:rPr>
                <w:rFonts w:ascii="Times New Roman" w:hAnsi="Times New Roman" w:cs="Times New Roman"/>
              </w:rPr>
              <w:t>monitoriuose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interneto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svetainėse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skelbti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aktualų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tyrimų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kuriuos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turi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teisę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paskirti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šeimos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gydytojas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sąrašą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3470E2F" w14:textId="4072A63E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slaugytoja</w:t>
            </w:r>
            <w:proofErr w:type="spellEnd"/>
          </w:p>
        </w:tc>
        <w:tc>
          <w:tcPr>
            <w:tcW w:w="2173" w:type="dxa"/>
          </w:tcPr>
          <w:p w14:paraId="1DAD22C9" w14:textId="586D944C" w:rsidR="00450478" w:rsidRPr="008F0CF3" w:rsidRDefault="008F0CF3" w:rsidP="004504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4970" w:type="dxa"/>
          </w:tcPr>
          <w:p w14:paraId="251B6952" w14:textId="1191970D" w:rsidR="00450478" w:rsidRPr="00450478" w:rsidRDefault="00450478" w:rsidP="00450478">
            <w:pPr>
              <w:rPr>
                <w:rFonts w:ascii="Times New Roman" w:hAnsi="Times New Roman" w:cs="Times New Roman"/>
                <w:b/>
                <w:bCs/>
              </w:rPr>
            </w:pPr>
            <w:r w:rsidRPr="00450478">
              <w:rPr>
                <w:rFonts w:ascii="Times New Roman" w:hAnsi="Times New Roman" w:cs="Times New Roman"/>
              </w:rPr>
              <w:t xml:space="preserve">Centro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skelbimo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lentose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0478">
              <w:rPr>
                <w:rFonts w:ascii="Times New Roman" w:hAnsi="Times New Roman" w:cs="Times New Roman"/>
              </w:rPr>
              <w:t>monitoriuose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interneto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svetainėje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adresu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: https://www. </w:t>
            </w:r>
            <w:proofErr w:type="spellStart"/>
            <w:proofErr w:type="gramStart"/>
            <w:r w:rsidRPr="00450478">
              <w:rPr>
                <w:rFonts w:ascii="Times New Roman" w:hAnsi="Times New Roman" w:cs="Times New Roman"/>
              </w:rPr>
              <w:t>naumiesciopspc</w:t>
            </w:r>
            <w:proofErr w:type="spellEnd"/>
            <w:r w:rsidRPr="00450478">
              <w:rPr>
                <w:rFonts w:ascii="Times New Roman" w:hAnsi="Times New Roman" w:cs="Times New Roman"/>
              </w:rPr>
              <w:t>./</w:t>
            </w:r>
            <w:proofErr w:type="gramEnd"/>
            <w:r w:rsidRPr="00450478">
              <w:rPr>
                <w:rFonts w:ascii="Times New Roman" w:hAnsi="Times New Roman" w:cs="Times New Roman"/>
              </w:rPr>
              <w:t xml:space="preserve"> </w:t>
            </w:r>
            <w:r w:rsidRPr="003B1BAA">
              <w:rPr>
                <w:rFonts w:ascii="Times New Roman" w:hAnsi="Times New Roman" w:cs="Times New Roman"/>
                <w:sz w:val="20"/>
                <w:szCs w:val="20"/>
              </w:rPr>
              <w:t>/NEMOKAMŲ- PIRMINĖS-AMBULATORINĖS</w:t>
            </w:r>
            <w:r w:rsidR="003B1BAA" w:rsidRPr="003B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AA">
              <w:rPr>
                <w:rFonts w:ascii="Times New Roman" w:hAnsi="Times New Roman" w:cs="Times New Roman"/>
                <w:sz w:val="20"/>
                <w:szCs w:val="20"/>
              </w:rPr>
              <w:t>ASMENS-SVEIKATOS-PRIEŽIŪROSPASLAUGŲ-TEIKIMO-TVARKOS</w:t>
            </w:r>
            <w:r w:rsidR="003B1BAA" w:rsidRPr="003B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AA">
              <w:rPr>
                <w:rFonts w:ascii="Times New Roman" w:hAnsi="Times New Roman" w:cs="Times New Roman"/>
                <w:sz w:val="20"/>
                <w:szCs w:val="20"/>
              </w:rPr>
              <w:t>APRAŠAS.pdf</w:t>
            </w:r>
          </w:p>
        </w:tc>
      </w:tr>
      <w:tr w:rsidR="00450478" w14:paraId="2CF3D0F8" w14:textId="00277CD2" w:rsidTr="003B1BAA">
        <w:tc>
          <w:tcPr>
            <w:tcW w:w="840" w:type="dxa"/>
          </w:tcPr>
          <w:p w14:paraId="495069B3" w14:textId="08619597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2.1.4</w:t>
            </w:r>
          </w:p>
        </w:tc>
        <w:tc>
          <w:tcPr>
            <w:tcW w:w="3550" w:type="dxa"/>
            <w:gridSpan w:val="2"/>
          </w:tcPr>
          <w:p w14:paraId="7FD22454" w14:textId="7043E795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apie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teises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pareigas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skelbimas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interneto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svetainėje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0A63995" w14:textId="02197C6B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4BAD2F6B" w14:textId="4E0D9604" w:rsidR="00450478" w:rsidRPr="00505679" w:rsidRDefault="008F0CF3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4970" w:type="dxa"/>
          </w:tcPr>
          <w:p w14:paraId="05EC3466" w14:textId="44CBEE87" w:rsidR="00450478" w:rsidRPr="00450478" w:rsidRDefault="003B1BAA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Paskelbta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interneto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svetainėje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adresu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: https://www.naumiesciopspc.lt/teisesaktai/pacientu-teises-ir-pareigos/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skelbiama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informacija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apie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teises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ir</w:t>
            </w:r>
            <w:proofErr w:type="spellEnd"/>
            <w:r w:rsidR="00450478"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478" w:rsidRPr="00450478">
              <w:rPr>
                <w:rFonts w:ascii="Times New Roman" w:hAnsi="Times New Roman" w:cs="Times New Roman"/>
              </w:rPr>
              <w:t>pareigas</w:t>
            </w:r>
            <w:proofErr w:type="spellEnd"/>
          </w:p>
        </w:tc>
      </w:tr>
      <w:tr w:rsidR="00450478" w14:paraId="6D4C0280" w14:textId="342028A1" w:rsidTr="003B1BAA">
        <w:tc>
          <w:tcPr>
            <w:tcW w:w="840" w:type="dxa"/>
          </w:tcPr>
          <w:p w14:paraId="628A437D" w14:textId="01172345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2.1.5</w:t>
            </w:r>
          </w:p>
        </w:tc>
        <w:tc>
          <w:tcPr>
            <w:tcW w:w="3550" w:type="dxa"/>
            <w:gridSpan w:val="2"/>
          </w:tcPr>
          <w:p w14:paraId="6CBA611D" w14:textId="3BA12C12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užsiregistravusių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pas Centro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specialistus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per IPR IS,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skaičiaus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didinimas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C0174A8" w14:textId="353C8569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4D43A279" w14:textId="7A40F1E3" w:rsidR="00450478" w:rsidRPr="00505679" w:rsidRDefault="008F0CF3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4970" w:type="dxa"/>
          </w:tcPr>
          <w:p w14:paraId="50C388C5" w14:textId="5794E771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Pasirašyta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sutartis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su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Valstybės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įmone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Registrų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centru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dėl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prisijungimo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prie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išankstinės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pacientų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registracijos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informacinės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sistemos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</w:tr>
      <w:tr w:rsidR="00450478" w14:paraId="5586C4F1" w14:textId="5FCA479E" w:rsidTr="003B1BAA">
        <w:tc>
          <w:tcPr>
            <w:tcW w:w="840" w:type="dxa"/>
          </w:tcPr>
          <w:p w14:paraId="274D24BA" w14:textId="69BEB186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2.1.6</w:t>
            </w:r>
          </w:p>
        </w:tc>
        <w:tc>
          <w:tcPr>
            <w:tcW w:w="3550" w:type="dxa"/>
            <w:gridSpan w:val="2"/>
          </w:tcPr>
          <w:p w14:paraId="31331308" w14:textId="54751DAE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</w:rPr>
              <w:t>Tobulinti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asmenų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registravimo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 w:rsidRPr="00450478">
              <w:rPr>
                <w:rFonts w:ascii="Times New Roman" w:hAnsi="Times New Roman" w:cs="Times New Roman"/>
              </w:rPr>
              <w:t>Centrą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paslaugų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laukimo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eiles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valdymo</w:t>
            </w:r>
            <w:proofErr w:type="spellEnd"/>
            <w:r w:rsidRPr="0045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478">
              <w:rPr>
                <w:rFonts w:ascii="Times New Roman" w:hAnsi="Times New Roman" w:cs="Times New Roman"/>
              </w:rPr>
              <w:t>reglamentavimą</w:t>
            </w:r>
            <w:proofErr w:type="spellEnd"/>
            <w:r w:rsidRPr="00450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BF10C4A" w14:textId="470E7302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478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2173" w:type="dxa"/>
          </w:tcPr>
          <w:p w14:paraId="23207FC3" w14:textId="05B69DFE" w:rsidR="00450478" w:rsidRPr="008F0CF3" w:rsidRDefault="008F0CF3" w:rsidP="004504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0CF3">
              <w:rPr>
                <w:rFonts w:ascii="Times New Roman" w:hAnsi="Times New Roman" w:cs="Times New Roman"/>
              </w:rPr>
              <w:t>202</w:t>
            </w:r>
            <w:r w:rsidR="003B1BAA">
              <w:rPr>
                <w:rFonts w:ascii="Times New Roman" w:hAnsi="Times New Roman" w:cs="Times New Roman"/>
              </w:rPr>
              <w:t>2</w:t>
            </w:r>
            <w:r w:rsidRPr="008F0CF3">
              <w:rPr>
                <w:rFonts w:ascii="Times New Roman" w:hAnsi="Times New Roman" w:cs="Times New Roman"/>
              </w:rPr>
              <w:t xml:space="preserve">  II</w:t>
            </w:r>
            <w:r w:rsidR="006A03F6">
              <w:rPr>
                <w:rFonts w:ascii="Times New Roman" w:hAnsi="Times New Roman" w:cs="Times New Roman"/>
              </w:rPr>
              <w:t>I</w:t>
            </w:r>
            <w:proofErr w:type="gram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ketv</w:t>
            </w:r>
            <w:proofErr w:type="spellEnd"/>
            <w:r w:rsidRPr="008F0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0" w:type="dxa"/>
          </w:tcPr>
          <w:p w14:paraId="6E2A583B" w14:textId="71636675" w:rsidR="00450478" w:rsidRPr="00450478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50478" w14:paraId="1724DFBE" w14:textId="77F26C65" w:rsidTr="003B1BAA">
        <w:tc>
          <w:tcPr>
            <w:tcW w:w="840" w:type="dxa"/>
          </w:tcPr>
          <w:p w14:paraId="23949BAC" w14:textId="77777777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0" w:type="dxa"/>
            <w:gridSpan w:val="2"/>
          </w:tcPr>
          <w:p w14:paraId="3E128724" w14:textId="77777777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AB80C60" w14:textId="77777777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3" w:type="dxa"/>
          </w:tcPr>
          <w:p w14:paraId="123F9BAE" w14:textId="77777777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0" w:type="dxa"/>
          </w:tcPr>
          <w:p w14:paraId="2A355B4C" w14:textId="77777777" w:rsidR="00450478" w:rsidRPr="00505679" w:rsidRDefault="00450478" w:rsidP="00450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AC5F6E" w14:textId="77777777" w:rsidR="00990D7F" w:rsidRDefault="00990D7F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F0CF3" w14:paraId="08502CF5" w14:textId="77777777" w:rsidTr="008F0CF3">
        <w:tc>
          <w:tcPr>
            <w:tcW w:w="12950" w:type="dxa"/>
          </w:tcPr>
          <w:p w14:paraId="3242CC20" w14:textId="77777777" w:rsidR="008F0CF3" w:rsidRDefault="008F0CF3" w:rsidP="008F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TIKSLAS.</w:t>
            </w:r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Siekti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Centras ne tik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formaliai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įgyvendintų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priskirtas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imtųsi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aktyvių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veiksmų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atvertų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duomenis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visuomenė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kiti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asmenys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turėtų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sužinoti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Centro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kuriant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korupcijai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atsparią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aplinką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rodant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jis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netoleruoja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aktyvus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kuria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korupcijai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atsparią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aplinką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skaidrus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atviras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visuomenei</w:t>
            </w:r>
            <w:proofErr w:type="spellEnd"/>
          </w:p>
          <w:p w14:paraId="19B9CF3E" w14:textId="45ADA940" w:rsidR="008F0CF3" w:rsidRDefault="008F0CF3" w:rsidP="008F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CF3" w14:paraId="596BE87D" w14:textId="77777777" w:rsidTr="008F0CF3">
        <w:tc>
          <w:tcPr>
            <w:tcW w:w="12950" w:type="dxa"/>
          </w:tcPr>
          <w:p w14:paraId="294E8E16" w14:textId="77777777" w:rsidR="008F0CF3" w:rsidRDefault="008F0CF3" w:rsidP="008F0CF3">
            <w:pPr>
              <w:rPr>
                <w:rFonts w:ascii="Times New Roman" w:hAnsi="Times New Roman" w:cs="Times New Roman"/>
              </w:rPr>
            </w:pPr>
            <w:r w:rsidRPr="008F0CF3">
              <w:rPr>
                <w:rFonts w:ascii="Times New Roman" w:hAnsi="Times New Roman" w:cs="Times New Roman"/>
                <w:b/>
                <w:bCs/>
              </w:rPr>
              <w:t>3.1. UŽDAVINYS</w:t>
            </w:r>
            <w:r w:rsidRPr="008F0CF3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Gerinti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administracinių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viešųjų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paslaugų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kokybę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</w:rPr>
              <w:t>didinti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sprendimų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procedūrų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skaidrumą</w:t>
            </w:r>
            <w:proofErr w:type="spellEnd"/>
            <w:r w:rsidRPr="008F0CF3">
              <w:rPr>
                <w:rFonts w:ascii="Times New Roman" w:hAnsi="Times New Roman" w:cs="Times New Roman"/>
              </w:rPr>
              <w:t>.</w:t>
            </w:r>
          </w:p>
          <w:p w14:paraId="0BA5243D" w14:textId="1E15118A" w:rsidR="008F0CF3" w:rsidRDefault="008F0CF3" w:rsidP="008F0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430584" w14:textId="14167D1B" w:rsidR="00990D7F" w:rsidRDefault="00990D7F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0"/>
        <w:gridCol w:w="3833"/>
        <w:gridCol w:w="1559"/>
        <w:gridCol w:w="1748"/>
        <w:gridCol w:w="4970"/>
      </w:tblGrid>
      <w:tr w:rsidR="008F0CF3" w:rsidRPr="00505679" w14:paraId="3BB58E04" w14:textId="77777777" w:rsidTr="00495DCA">
        <w:tc>
          <w:tcPr>
            <w:tcW w:w="840" w:type="dxa"/>
          </w:tcPr>
          <w:p w14:paraId="0FF3E4A2" w14:textId="00F62742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3.1.1</w:t>
            </w:r>
          </w:p>
        </w:tc>
        <w:tc>
          <w:tcPr>
            <w:tcW w:w="3833" w:type="dxa"/>
          </w:tcPr>
          <w:p w14:paraId="1A96DC7E" w14:textId="5C5BDC8D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Pildyti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informaciją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apie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pacientams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suteiktas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mokamas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paslaugas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statistinėje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formoje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Nr. 025/a-LK „</w:t>
            </w:r>
            <w:proofErr w:type="spellStart"/>
            <w:r w:rsidRPr="008F0CF3">
              <w:rPr>
                <w:rFonts w:ascii="Times New Roman" w:hAnsi="Times New Roman" w:cs="Times New Roman"/>
              </w:rPr>
              <w:t>Asmens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ambulatorinio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gydymo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statistinė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kortelė</w:t>
            </w:r>
            <w:proofErr w:type="spellEnd"/>
            <w:r w:rsidRPr="008F0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89585BF" w14:textId="27AE8D62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Bendrosios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praktikos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slaugytojai</w:t>
            </w:r>
            <w:proofErr w:type="spellEnd"/>
            <w:r w:rsidRPr="008F0CF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48" w:type="dxa"/>
          </w:tcPr>
          <w:p w14:paraId="0B38BE2A" w14:textId="71DD8F44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4970" w:type="dxa"/>
          </w:tcPr>
          <w:p w14:paraId="1AE41991" w14:textId="17ABCD4B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Bendrosios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praktikos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slaugytojai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</w:rPr>
              <w:t>odontologo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padėjėjas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</w:rPr>
              <w:t>burnos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higienistas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pildo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informaciją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apie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pacientams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suteiktas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mokamas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paslaugas025/a-LK „</w:t>
            </w:r>
            <w:proofErr w:type="spellStart"/>
            <w:r w:rsidRPr="008F0CF3">
              <w:rPr>
                <w:rFonts w:ascii="Times New Roman" w:hAnsi="Times New Roman" w:cs="Times New Roman"/>
              </w:rPr>
              <w:t>Asmens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ambulatorinio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gydymo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statistinė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F0CF3">
              <w:rPr>
                <w:rFonts w:ascii="Times New Roman" w:hAnsi="Times New Roman" w:cs="Times New Roman"/>
              </w:rPr>
              <w:t>kortelė</w:t>
            </w:r>
            <w:proofErr w:type="spellEnd"/>
            <w:r w:rsidRPr="008F0CF3">
              <w:rPr>
                <w:rFonts w:ascii="Times New Roman" w:hAnsi="Times New Roman" w:cs="Times New Roman"/>
              </w:rPr>
              <w:t>“</w:t>
            </w:r>
            <w:proofErr w:type="gramEnd"/>
          </w:p>
        </w:tc>
      </w:tr>
      <w:tr w:rsidR="008F0CF3" w:rsidRPr="00450478" w14:paraId="69205D73" w14:textId="77777777" w:rsidTr="00495DCA">
        <w:tc>
          <w:tcPr>
            <w:tcW w:w="840" w:type="dxa"/>
          </w:tcPr>
          <w:p w14:paraId="3F160E17" w14:textId="6006823F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3.1.2</w:t>
            </w:r>
          </w:p>
        </w:tc>
        <w:tc>
          <w:tcPr>
            <w:tcW w:w="3833" w:type="dxa"/>
          </w:tcPr>
          <w:p w14:paraId="4C274BA4" w14:textId="52063371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Sukurti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taikyti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Centro paramos </w:t>
            </w:r>
            <w:proofErr w:type="spellStart"/>
            <w:r w:rsidRPr="008F0CF3">
              <w:rPr>
                <w:rFonts w:ascii="Times New Roman" w:hAnsi="Times New Roman" w:cs="Times New Roman"/>
              </w:rPr>
              <w:t>gavimo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teikimo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apskaitos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viešinimo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sistemą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pagal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Ministerijos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nustatytą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tvarką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patvirtintą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Lietuvos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Respublikos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sveikatos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apsaugos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ministro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2020 m. </w:t>
            </w:r>
            <w:proofErr w:type="spellStart"/>
            <w:r w:rsidRPr="008F0CF3">
              <w:rPr>
                <w:rFonts w:ascii="Times New Roman" w:hAnsi="Times New Roman" w:cs="Times New Roman"/>
              </w:rPr>
              <w:t>rugsėjo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4 d. </w:t>
            </w:r>
            <w:proofErr w:type="spellStart"/>
            <w:r w:rsidRPr="008F0CF3">
              <w:rPr>
                <w:rFonts w:ascii="Times New Roman" w:hAnsi="Times New Roman" w:cs="Times New Roman"/>
              </w:rPr>
              <w:t>įsakymu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Nr. V-1985 „</w:t>
            </w:r>
            <w:proofErr w:type="spellStart"/>
            <w:r w:rsidRPr="008F0CF3">
              <w:rPr>
                <w:rFonts w:ascii="Times New Roman" w:hAnsi="Times New Roman" w:cs="Times New Roman"/>
              </w:rPr>
              <w:t>Dėl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rekomendacijų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dėl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asmens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sveikatos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priežiūros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įstaigų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paramos </w:t>
            </w:r>
            <w:proofErr w:type="spellStart"/>
            <w:r w:rsidRPr="008F0CF3">
              <w:rPr>
                <w:rFonts w:ascii="Times New Roman" w:hAnsi="Times New Roman" w:cs="Times New Roman"/>
              </w:rPr>
              <w:t>gavimo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teikimo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apskaitos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viešinimo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sistemos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F0CF3">
              <w:rPr>
                <w:rFonts w:ascii="Times New Roman" w:hAnsi="Times New Roman" w:cs="Times New Roman"/>
              </w:rPr>
              <w:t>taikymo</w:t>
            </w:r>
            <w:proofErr w:type="spellEnd"/>
            <w:r w:rsidRPr="008F0CF3">
              <w:rPr>
                <w:rFonts w:ascii="Times New Roman" w:hAnsi="Times New Roman" w:cs="Times New Roman"/>
              </w:rPr>
              <w:t>“</w:t>
            </w:r>
            <w:proofErr w:type="gramEnd"/>
            <w:r w:rsidRPr="008F0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A8DB0C4" w14:textId="781A257B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Vyriausiasis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buhalteris</w:t>
            </w:r>
            <w:proofErr w:type="spellEnd"/>
          </w:p>
        </w:tc>
        <w:tc>
          <w:tcPr>
            <w:tcW w:w="1748" w:type="dxa"/>
          </w:tcPr>
          <w:p w14:paraId="48C30F0B" w14:textId="0C25058D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4970" w:type="dxa"/>
          </w:tcPr>
          <w:p w14:paraId="7E24E98A" w14:textId="621BD60F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CF3" w:rsidRPr="00450478" w14:paraId="001CE650" w14:textId="77777777" w:rsidTr="00495DCA">
        <w:tc>
          <w:tcPr>
            <w:tcW w:w="840" w:type="dxa"/>
          </w:tcPr>
          <w:p w14:paraId="19ADEA9C" w14:textId="1CC2C4E1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3.1.3</w:t>
            </w:r>
          </w:p>
        </w:tc>
        <w:tc>
          <w:tcPr>
            <w:tcW w:w="3833" w:type="dxa"/>
          </w:tcPr>
          <w:p w14:paraId="400E1061" w14:textId="6D8A9860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Mokymų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korupcijos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prevencijos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klausimais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vykdymas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rengiama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mokymų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dalomoji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medžiaga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aktualiais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korupcijos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prevencijos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klausimais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padedant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formuoti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korupcijai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atsparią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aplinką</w:t>
            </w:r>
            <w:proofErr w:type="spellEnd"/>
            <w:r w:rsidRPr="008F0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76972B6E" w14:textId="1CBF41FC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  <w:sz w:val="24"/>
                <w:szCs w:val="24"/>
              </w:rPr>
              <w:t>Vyr.gydytoja</w:t>
            </w:r>
            <w:proofErr w:type="spellEnd"/>
          </w:p>
        </w:tc>
        <w:tc>
          <w:tcPr>
            <w:tcW w:w="1748" w:type="dxa"/>
          </w:tcPr>
          <w:p w14:paraId="206A2522" w14:textId="77777777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4970" w:type="dxa"/>
          </w:tcPr>
          <w:p w14:paraId="231F3ABB" w14:textId="368636DA" w:rsidR="008F0CF3" w:rsidRPr="008F0CF3" w:rsidRDefault="008F0CF3" w:rsidP="008F0CF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CF3">
              <w:rPr>
                <w:rFonts w:ascii="Times New Roman" w:hAnsi="Times New Roman" w:cs="Times New Roman"/>
              </w:rPr>
              <w:t>Dėl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paskelbto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karantino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ir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ekstremalios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situacijos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|</w:t>
            </w:r>
            <w:proofErr w:type="spellStart"/>
            <w:r w:rsidRPr="008F0CF3">
              <w:rPr>
                <w:rFonts w:ascii="Times New Roman" w:hAnsi="Times New Roman" w:cs="Times New Roman"/>
              </w:rPr>
              <w:t>Lietuvos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Respublikoje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dėl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Pr="008F0CF3">
              <w:rPr>
                <w:rFonts w:ascii="Times New Roman" w:hAnsi="Times New Roman" w:cs="Times New Roman"/>
              </w:rPr>
              <w:t>infekcijos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mokymai</w:t>
            </w:r>
            <w:proofErr w:type="spellEnd"/>
            <w:r w:rsidRPr="008F0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3">
              <w:rPr>
                <w:rFonts w:ascii="Times New Roman" w:hAnsi="Times New Roman" w:cs="Times New Roman"/>
              </w:rPr>
              <w:t>nevyko</w:t>
            </w:r>
            <w:proofErr w:type="spellEnd"/>
          </w:p>
        </w:tc>
      </w:tr>
      <w:tr w:rsidR="008F0CF3" w:rsidRPr="00450478" w14:paraId="00CAD3E3" w14:textId="77777777" w:rsidTr="00495DCA">
        <w:tc>
          <w:tcPr>
            <w:tcW w:w="840" w:type="dxa"/>
          </w:tcPr>
          <w:p w14:paraId="6FBC3E63" w14:textId="27B27995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3" w:type="dxa"/>
          </w:tcPr>
          <w:p w14:paraId="23B24611" w14:textId="1368805A" w:rsidR="008F0CF3" w:rsidRPr="00450478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936C3D5" w14:textId="750A502B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</w:tcPr>
          <w:p w14:paraId="15038B10" w14:textId="5B44AF6A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0" w:type="dxa"/>
          </w:tcPr>
          <w:p w14:paraId="43FA9FA2" w14:textId="0CEFF30A" w:rsidR="008F0CF3" w:rsidRPr="00450478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CF3" w:rsidRPr="00450478" w14:paraId="0EE5BB6D" w14:textId="77777777" w:rsidTr="00495DCA">
        <w:tc>
          <w:tcPr>
            <w:tcW w:w="840" w:type="dxa"/>
          </w:tcPr>
          <w:p w14:paraId="002F4A44" w14:textId="7A7B904E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3" w:type="dxa"/>
          </w:tcPr>
          <w:p w14:paraId="3140B8EB" w14:textId="2B10AFA6" w:rsidR="008F0CF3" w:rsidRPr="00450478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B02E6C7" w14:textId="6403A270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</w:tcPr>
          <w:p w14:paraId="595C0E5F" w14:textId="04EF1BA1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0" w:type="dxa"/>
          </w:tcPr>
          <w:p w14:paraId="3BA0478D" w14:textId="6C4B8964" w:rsidR="008F0CF3" w:rsidRPr="00450478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CF3" w:rsidRPr="00450478" w14:paraId="31FDC9E0" w14:textId="77777777" w:rsidTr="00495DCA">
        <w:tc>
          <w:tcPr>
            <w:tcW w:w="840" w:type="dxa"/>
          </w:tcPr>
          <w:p w14:paraId="1E53F7DA" w14:textId="11DD9796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3" w:type="dxa"/>
          </w:tcPr>
          <w:p w14:paraId="165822F7" w14:textId="3A2F3A90" w:rsidR="008F0CF3" w:rsidRPr="00450478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E421D1F" w14:textId="700F3127" w:rsidR="008F0CF3" w:rsidRPr="00505679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</w:tcPr>
          <w:p w14:paraId="5963FB5D" w14:textId="715BF692" w:rsidR="008F0CF3" w:rsidRPr="008F0CF3" w:rsidRDefault="008F0CF3" w:rsidP="008F0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6BAEF51A" w14:textId="28E2BB77" w:rsidR="008F0CF3" w:rsidRPr="00450478" w:rsidRDefault="008F0CF3" w:rsidP="008F0C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CA2B82" w14:textId="77777777" w:rsidR="008F0CF3" w:rsidRDefault="008F0CF3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95DCA" w14:paraId="4935EC74" w14:textId="77777777" w:rsidTr="00495DCA">
        <w:tc>
          <w:tcPr>
            <w:tcW w:w="12950" w:type="dxa"/>
          </w:tcPr>
          <w:p w14:paraId="20063EB9" w14:textId="77777777" w:rsidR="00495DCA" w:rsidRPr="00495DCA" w:rsidRDefault="00495DCA" w:rsidP="004A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TIKSLAS</w:t>
            </w:r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Siekti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skaidrumo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efektyvumo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pagrindinį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tikslą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racionaliai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lėšas</w:t>
            </w:r>
            <w:proofErr w:type="spellEnd"/>
          </w:p>
          <w:p w14:paraId="0E21FEBA" w14:textId="1C14DE24" w:rsidR="00495DCA" w:rsidRPr="00495DCA" w:rsidRDefault="00495DCA" w:rsidP="00495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95DCA">
              <w:rPr>
                <w:rFonts w:ascii="Times New Roman" w:hAnsi="Times New Roman" w:cs="Times New Roman"/>
                <w:b/>
                <w:bCs/>
              </w:rPr>
              <w:t>4.1</w:t>
            </w:r>
            <w:r w:rsidRPr="00495DCA">
              <w:rPr>
                <w:rFonts w:ascii="Times New Roman" w:hAnsi="Times New Roman" w:cs="Times New Roman"/>
              </w:rPr>
              <w:t xml:space="preserve">. </w:t>
            </w:r>
            <w:r w:rsidRPr="00495DCA">
              <w:rPr>
                <w:rFonts w:ascii="Times New Roman" w:hAnsi="Times New Roman" w:cs="Times New Roman"/>
                <w:b/>
                <w:bCs/>
              </w:rPr>
              <w:t>UŽDAVINYS.</w:t>
            </w:r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skaidrinimas</w:t>
            </w:r>
            <w:proofErr w:type="spellEnd"/>
            <w:r w:rsidRPr="0049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79771E" w14:textId="1EDB801C" w:rsidR="00505679" w:rsidRDefault="00505679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9"/>
        <w:gridCol w:w="2735"/>
        <w:gridCol w:w="1279"/>
        <w:gridCol w:w="1255"/>
        <w:gridCol w:w="7022"/>
      </w:tblGrid>
      <w:tr w:rsidR="006A03F6" w:rsidRPr="008F0CF3" w14:paraId="46325BED" w14:textId="77777777" w:rsidTr="005A3DEC">
        <w:tc>
          <w:tcPr>
            <w:tcW w:w="659" w:type="dxa"/>
          </w:tcPr>
          <w:p w14:paraId="0F535940" w14:textId="674CF03E" w:rsidR="00495DCA" w:rsidRPr="00505679" w:rsidRDefault="00495DCA" w:rsidP="004345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2735" w:type="dxa"/>
          </w:tcPr>
          <w:p w14:paraId="0B93B589" w14:textId="1B724195" w:rsidR="00495DCA" w:rsidRPr="00495DCA" w:rsidRDefault="00495DCA" w:rsidP="004345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5DCA">
              <w:rPr>
                <w:rFonts w:ascii="Times New Roman" w:hAnsi="Times New Roman" w:cs="Times New Roman"/>
              </w:rPr>
              <w:t>Atlikti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savo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vykdomų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stebėseną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pagal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nurodytus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tarnybos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rekomenduojamus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vertinimo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rodiklius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DCA">
              <w:rPr>
                <w:rFonts w:ascii="Times New Roman" w:hAnsi="Times New Roman" w:cs="Times New Roman"/>
              </w:rPr>
              <w:t>juos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adaptuoti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ir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495DCA">
              <w:rPr>
                <w:rFonts w:ascii="Times New Roman" w:hAnsi="Times New Roman" w:cs="Times New Roman"/>
              </w:rPr>
              <w:t>mažiau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kaip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keturis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rodiklius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paviešinti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Centro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interneto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svetainėje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vadovaujantis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Lietuvos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Respublikos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apsaugos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ministro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2020 m. </w:t>
            </w:r>
            <w:proofErr w:type="spellStart"/>
            <w:r w:rsidRPr="00495DCA">
              <w:rPr>
                <w:rFonts w:ascii="Times New Roman" w:hAnsi="Times New Roman" w:cs="Times New Roman"/>
              </w:rPr>
              <w:t>liepos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14 d. </w:t>
            </w:r>
            <w:proofErr w:type="spellStart"/>
            <w:r w:rsidRPr="00495DCA">
              <w:rPr>
                <w:rFonts w:ascii="Times New Roman" w:hAnsi="Times New Roman" w:cs="Times New Roman"/>
              </w:rPr>
              <w:t>įsakymu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Nr. V-1651 „</w:t>
            </w:r>
            <w:proofErr w:type="spellStart"/>
            <w:r w:rsidRPr="00495DCA">
              <w:rPr>
                <w:rFonts w:ascii="Times New Roman" w:hAnsi="Times New Roman" w:cs="Times New Roman"/>
              </w:rPr>
              <w:t>Dėl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vykdytojų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priežiūros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sistemoje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vertinimo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rodiklių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5DCA">
              <w:rPr>
                <w:rFonts w:ascii="Times New Roman" w:hAnsi="Times New Roman" w:cs="Times New Roman"/>
              </w:rPr>
              <w:t>paviešinimo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>“</w:t>
            </w:r>
            <w:proofErr w:type="gramEnd"/>
            <w:r w:rsidRPr="00495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14:paraId="3CA7EE9C" w14:textId="4F4F9D06" w:rsidR="00495DCA" w:rsidRPr="00495DCA" w:rsidRDefault="00495DCA" w:rsidP="004345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5DCA">
              <w:rPr>
                <w:rFonts w:ascii="Times New Roman" w:hAnsi="Times New Roman" w:cs="Times New Roman"/>
              </w:rPr>
              <w:t>Ūkvedys</w:t>
            </w:r>
            <w:proofErr w:type="spellEnd"/>
          </w:p>
        </w:tc>
        <w:tc>
          <w:tcPr>
            <w:tcW w:w="1255" w:type="dxa"/>
          </w:tcPr>
          <w:p w14:paraId="1179A619" w14:textId="304452E6" w:rsidR="00495DCA" w:rsidRPr="008F0CF3" w:rsidRDefault="006A03F6" w:rsidP="00434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2022-IV kt.</w:t>
            </w:r>
          </w:p>
        </w:tc>
        <w:tc>
          <w:tcPr>
            <w:tcW w:w="7022" w:type="dxa"/>
          </w:tcPr>
          <w:p w14:paraId="02E5D53E" w14:textId="54CA2BCC" w:rsidR="00495DCA" w:rsidRPr="00495DCA" w:rsidRDefault="00495DCA" w:rsidP="006A03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DCA">
              <w:rPr>
                <w:rFonts w:ascii="Times New Roman" w:hAnsi="Times New Roman" w:cs="Times New Roman"/>
              </w:rPr>
              <w:t xml:space="preserve">Centro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interneto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svetainėje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adresu</w:t>
            </w:r>
            <w:proofErr w:type="spellEnd"/>
            <w:r w:rsidRPr="00495DCA">
              <w:rPr>
                <w:rFonts w:ascii="Times New Roman" w:hAnsi="Times New Roman" w:cs="Times New Roman"/>
              </w:rPr>
              <w:t>: https://www.</w:t>
            </w:r>
            <w:r>
              <w:rPr>
                <w:rFonts w:ascii="Times New Roman" w:hAnsi="Times New Roman" w:cs="Times New Roman"/>
              </w:rPr>
              <w:t>kudirkosnaumiescio</w:t>
            </w:r>
            <w:r w:rsidRPr="00495DCA">
              <w:rPr>
                <w:rFonts w:ascii="Times New Roman" w:hAnsi="Times New Roman" w:cs="Times New Roman"/>
              </w:rPr>
              <w:t xml:space="preserve">pspc.lt/administracineinformacija/viesieji-pirkimai/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skelbiama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apie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vykdytų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planus</w:t>
            </w:r>
          </w:p>
        </w:tc>
      </w:tr>
      <w:tr w:rsidR="006A03F6" w:rsidRPr="008F0CF3" w14:paraId="0B7DCF33" w14:textId="77777777" w:rsidTr="005A3DEC">
        <w:tc>
          <w:tcPr>
            <w:tcW w:w="659" w:type="dxa"/>
          </w:tcPr>
          <w:p w14:paraId="14FD79FB" w14:textId="37384160" w:rsidR="006A03F6" w:rsidRPr="00505679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4.1.2</w:t>
            </w:r>
          </w:p>
        </w:tc>
        <w:tc>
          <w:tcPr>
            <w:tcW w:w="2735" w:type="dxa"/>
          </w:tcPr>
          <w:p w14:paraId="5B3D455C" w14:textId="4E0E72BA" w:rsidR="006A03F6" w:rsidRPr="00495DCA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5DCA">
              <w:rPr>
                <w:rFonts w:ascii="Times New Roman" w:hAnsi="Times New Roman" w:cs="Times New Roman"/>
              </w:rPr>
              <w:t>Atlikti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Lietuvos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Respublikos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apsaugos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ministro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2020 m. </w:t>
            </w:r>
            <w:proofErr w:type="spellStart"/>
            <w:r w:rsidRPr="00495DCA">
              <w:rPr>
                <w:rFonts w:ascii="Times New Roman" w:hAnsi="Times New Roman" w:cs="Times New Roman"/>
              </w:rPr>
              <w:t>liepos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14 d. </w:t>
            </w:r>
            <w:proofErr w:type="spellStart"/>
            <w:r w:rsidRPr="00495DCA">
              <w:rPr>
                <w:rFonts w:ascii="Times New Roman" w:hAnsi="Times New Roman" w:cs="Times New Roman"/>
              </w:rPr>
              <w:t>įsakymo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Nr. V-1651 „</w:t>
            </w:r>
            <w:proofErr w:type="spellStart"/>
            <w:r w:rsidRPr="00495DCA">
              <w:rPr>
                <w:rFonts w:ascii="Times New Roman" w:hAnsi="Times New Roman" w:cs="Times New Roman"/>
              </w:rPr>
              <w:t>Dėl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vykdytojų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priežiūros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sistemoje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viešųjų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vertinimo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rodiklių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5DCA">
              <w:rPr>
                <w:rFonts w:ascii="Times New Roman" w:hAnsi="Times New Roman" w:cs="Times New Roman"/>
              </w:rPr>
              <w:t>paviešinimo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>“ 1.1.1</w:t>
            </w:r>
            <w:proofErr w:type="gramEnd"/>
            <w:r w:rsidRPr="00495DCA">
              <w:rPr>
                <w:rFonts w:ascii="Times New Roman" w:hAnsi="Times New Roman" w:cs="Times New Roman"/>
              </w:rPr>
              <w:t xml:space="preserve">–1.1.4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papunkčiuose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nurodytos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užpildytose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formose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pateiktos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analizę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ir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išvadas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bei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siūlymus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dėl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stebėsenos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rodiklių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lastRenderedPageBreak/>
              <w:t>tobulinimo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korupcijos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prevencijos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veiklos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skaidrumo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didinimo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pateikti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Centro </w:t>
            </w:r>
            <w:proofErr w:type="spellStart"/>
            <w:r w:rsidRPr="00495DCA">
              <w:rPr>
                <w:rFonts w:ascii="Times New Roman" w:hAnsi="Times New Roman" w:cs="Times New Roman"/>
              </w:rPr>
              <w:t>direktoriui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ar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jo </w:t>
            </w:r>
            <w:proofErr w:type="spellStart"/>
            <w:r w:rsidRPr="00495DCA">
              <w:rPr>
                <w:rFonts w:ascii="Times New Roman" w:hAnsi="Times New Roman" w:cs="Times New Roman"/>
              </w:rPr>
              <w:t>įgaliotam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asmeniui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495DCA">
              <w:rPr>
                <w:rFonts w:ascii="Times New Roman" w:hAnsi="Times New Roman" w:cs="Times New Roman"/>
              </w:rPr>
              <w:t>rečiau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kaip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kartus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kalendorinius</w:t>
            </w:r>
            <w:proofErr w:type="spellEnd"/>
          </w:p>
        </w:tc>
        <w:tc>
          <w:tcPr>
            <w:tcW w:w="1279" w:type="dxa"/>
          </w:tcPr>
          <w:p w14:paraId="589AB695" w14:textId="3C47C2A6" w:rsidR="006A03F6" w:rsidRPr="00495DCA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5DCA">
              <w:rPr>
                <w:rFonts w:ascii="Times New Roman" w:hAnsi="Times New Roman" w:cs="Times New Roman"/>
              </w:rPr>
              <w:lastRenderedPageBreak/>
              <w:t>Ūkvedys</w:t>
            </w:r>
            <w:proofErr w:type="spellEnd"/>
          </w:p>
        </w:tc>
        <w:tc>
          <w:tcPr>
            <w:tcW w:w="1255" w:type="dxa"/>
          </w:tcPr>
          <w:p w14:paraId="425B5C01" w14:textId="7926896A" w:rsidR="006A03F6" w:rsidRPr="008F0CF3" w:rsidRDefault="006A03F6" w:rsidP="006A03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7022" w:type="dxa"/>
          </w:tcPr>
          <w:p w14:paraId="45E55F17" w14:textId="3A44D441" w:rsidR="006A03F6" w:rsidRPr="006A03F6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Centras per CPO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prekių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paslaugų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neįsigijo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Vadovavomės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Respublikos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viešųjų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įstatymo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31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straipsnio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dalies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punktu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Viešųjų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tarnybos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direktoriaus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2017 m.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28 d.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įsakymu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Nr. 1S-97 „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Dėl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tvarkos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aprašo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patvirtinimo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patvirtinto</w:t>
            </w:r>
            <w:proofErr w:type="spellEnd"/>
            <w:proofErr w:type="gram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tvarkos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aprašo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punkto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nuostatomis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kurios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nurodo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„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numatytos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pareigos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įsigyti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prekių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paslaugų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darbų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iš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centrinės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perkančiosios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organizacijos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arba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būti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nesilaikoma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, kai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atliekant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neskelbiamą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apklausą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numatoma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pirkimo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sutarties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vertė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yra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mažesnė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kaip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10 000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dešimt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tūkstančių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eurų</w:t>
            </w:r>
            <w:proofErr w:type="spellEnd"/>
            <w:r w:rsidRPr="006A03F6">
              <w:rPr>
                <w:rFonts w:ascii="Times New Roman" w:hAnsi="Times New Roman" w:cs="Times New Roman"/>
                <w:sz w:val="20"/>
                <w:szCs w:val="20"/>
              </w:rPr>
              <w:t>) (be PVM)“.</w:t>
            </w:r>
          </w:p>
        </w:tc>
      </w:tr>
      <w:tr w:rsidR="006A03F6" w:rsidRPr="008F0CF3" w14:paraId="666477B0" w14:textId="77777777" w:rsidTr="005A3DEC">
        <w:tc>
          <w:tcPr>
            <w:tcW w:w="659" w:type="dxa"/>
          </w:tcPr>
          <w:p w14:paraId="2D6E0491" w14:textId="6F726437" w:rsidR="006A03F6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4.1.3</w:t>
            </w:r>
          </w:p>
        </w:tc>
        <w:tc>
          <w:tcPr>
            <w:tcW w:w="2735" w:type="dxa"/>
          </w:tcPr>
          <w:p w14:paraId="70B20B6F" w14:textId="10211D00" w:rsidR="006A03F6" w:rsidRPr="00495DCA" w:rsidRDefault="006A03F6" w:rsidP="006A03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DCA">
              <w:rPr>
                <w:rFonts w:ascii="Times New Roman" w:hAnsi="Times New Roman" w:cs="Times New Roman"/>
              </w:rPr>
              <w:t>Didinti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vaistų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centralizuotų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pirkimų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procentinę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dalį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495DCA">
              <w:rPr>
                <w:rFonts w:ascii="Times New Roman" w:hAnsi="Times New Roman" w:cs="Times New Roman"/>
              </w:rPr>
              <w:t>Centrinės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perkančiosios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organizacijos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elektroninį</w:t>
            </w:r>
            <w:proofErr w:type="spellEnd"/>
            <w:r w:rsidRPr="0049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DCA">
              <w:rPr>
                <w:rFonts w:ascii="Times New Roman" w:hAnsi="Times New Roman" w:cs="Times New Roman"/>
              </w:rPr>
              <w:t>katalogą</w:t>
            </w:r>
            <w:proofErr w:type="spellEnd"/>
            <w:r w:rsidRPr="00495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14:paraId="796D9C94" w14:textId="77777777" w:rsidR="006A03F6" w:rsidRPr="008F0CF3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14:paraId="7D1CD252" w14:textId="2E1DAE68" w:rsidR="006A03F6" w:rsidRPr="008F0CF3" w:rsidRDefault="006A03F6" w:rsidP="006A03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7022" w:type="dxa"/>
          </w:tcPr>
          <w:p w14:paraId="55BD9E08" w14:textId="77777777" w:rsidR="006A03F6" w:rsidRPr="008F0CF3" w:rsidRDefault="006A03F6" w:rsidP="006A0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CE6D37" w14:textId="3B40B5EA" w:rsidR="00505679" w:rsidRDefault="00505679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FB12B" w14:textId="6F8C8C52" w:rsidR="00505679" w:rsidRDefault="00505679" w:rsidP="004A7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679" w:rsidSect="004A7B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3"/>
    <w:rsid w:val="002202E9"/>
    <w:rsid w:val="003B1BAA"/>
    <w:rsid w:val="00450478"/>
    <w:rsid w:val="00495DCA"/>
    <w:rsid w:val="004A7B03"/>
    <w:rsid w:val="00505679"/>
    <w:rsid w:val="005A3DEC"/>
    <w:rsid w:val="006A03F6"/>
    <w:rsid w:val="006D7E0B"/>
    <w:rsid w:val="008F0CF3"/>
    <w:rsid w:val="00990D7F"/>
    <w:rsid w:val="00A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D6E5"/>
  <w15:chartTrackingRefBased/>
  <w15:docId w15:val="{B680850A-7CE7-40F6-9301-77DACF6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58E6-DF99-4BD1-93FC-B3193FF3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KNPSPC Naumiestis</dc:creator>
  <cp:keywords/>
  <dc:description/>
  <cp:lastModifiedBy>KNPSPC Naumiestis</cp:lastModifiedBy>
  <cp:revision>8</cp:revision>
  <cp:lastPrinted>2023-03-23T13:17:00Z</cp:lastPrinted>
  <dcterms:created xsi:type="dcterms:W3CDTF">2023-03-23T11:17:00Z</dcterms:created>
  <dcterms:modified xsi:type="dcterms:W3CDTF">2023-03-28T08:11:00Z</dcterms:modified>
</cp:coreProperties>
</file>